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rPr>
        <w:t>附件</w:t>
      </w:r>
      <w:r>
        <w:rPr>
          <w:rFonts w:hint="eastAsia" w:ascii="仿宋" w:hAnsi="仿宋" w:eastAsia="仿宋" w:cs="仿宋"/>
          <w:spacing w:val="0"/>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p>
    <w:p>
      <w:pPr>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关于对文化市场领域严重违法失信市场主体及有关人员开展联合惩戒的合作备忘录</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为深入学习贯彻习近平新时代中国特色社会主义思想和党的</w:t>
      </w:r>
      <w:r>
        <w:rPr>
          <w:rFonts w:hint="eastAsia" w:ascii="仿宋" w:hAnsi="仿宋" w:eastAsia="仿宋" w:cs="仿宋"/>
          <w:spacing w:val="0"/>
          <w:sz w:val="32"/>
          <w:szCs w:val="32"/>
        </w:rPr>
        <w:t>十九大精神，落实《国务院关于印发社会信用体系建设规划纲要（</w:t>
      </w:r>
      <w:r>
        <w:rPr>
          <w:rFonts w:hint="eastAsia" w:ascii="仿宋" w:hAnsi="仿宋" w:eastAsia="仿宋" w:cs="仿宋"/>
          <w:spacing w:val="0"/>
          <w:sz w:val="32"/>
          <w:szCs w:val="32"/>
        </w:rPr>
        <w:t>2014-2020</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rPr>
        <w:t>年）的通知》（国发〔</w:t>
      </w:r>
      <w:r>
        <w:rPr>
          <w:rFonts w:hint="eastAsia" w:ascii="仿宋" w:hAnsi="仿宋" w:eastAsia="仿宋" w:cs="仿宋"/>
          <w:spacing w:val="0"/>
          <w:sz w:val="32"/>
          <w:szCs w:val="32"/>
        </w:rPr>
        <w:t>2014</w:t>
      </w:r>
      <w:r>
        <w:rPr>
          <w:rFonts w:hint="eastAsia" w:ascii="仿宋" w:hAnsi="仿宋" w:eastAsia="仿宋" w:cs="仿宋"/>
          <w:spacing w:val="0"/>
          <w:sz w:val="32"/>
          <w:szCs w:val="32"/>
        </w:rPr>
        <w:t>〕</w:t>
      </w:r>
      <w:r>
        <w:rPr>
          <w:rFonts w:hint="eastAsia" w:ascii="仿宋" w:hAnsi="仿宋" w:eastAsia="仿宋" w:cs="仿宋"/>
          <w:spacing w:val="0"/>
          <w:sz w:val="32"/>
          <w:szCs w:val="32"/>
        </w:rPr>
        <w:t>21</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rPr>
        <w:t>号）、《国务院关于</w:t>
      </w:r>
      <w:r>
        <w:rPr>
          <w:rFonts w:hint="eastAsia" w:ascii="仿宋" w:hAnsi="仿宋" w:eastAsia="仿宋" w:cs="仿宋"/>
          <w:spacing w:val="0"/>
          <w:sz w:val="32"/>
          <w:szCs w:val="32"/>
        </w:rPr>
        <w:t>建立完善守信联合激励和失信联合惩戒制度加快推进社会诚信建</w:t>
      </w:r>
      <w:r>
        <w:rPr>
          <w:rFonts w:hint="eastAsia" w:ascii="仿宋" w:hAnsi="仿宋" w:eastAsia="仿宋" w:cs="仿宋"/>
          <w:spacing w:val="0"/>
          <w:sz w:val="32"/>
          <w:szCs w:val="32"/>
        </w:rPr>
        <w:t>设的指导意见》</w:t>
      </w:r>
      <w:r>
        <w:rPr>
          <w:rFonts w:hint="eastAsia" w:ascii="仿宋" w:hAnsi="仿宋" w:eastAsia="仿宋" w:cs="仿宋"/>
          <w:spacing w:val="0"/>
          <w:sz w:val="32"/>
          <w:szCs w:val="32"/>
        </w:rPr>
        <w:t>（</w:t>
      </w:r>
      <w:r>
        <w:rPr>
          <w:rFonts w:hint="eastAsia" w:ascii="仿宋" w:hAnsi="仿宋" w:eastAsia="仿宋" w:cs="仿宋"/>
          <w:spacing w:val="0"/>
          <w:sz w:val="32"/>
          <w:szCs w:val="32"/>
        </w:rPr>
        <w:t>国发〔</w:t>
      </w:r>
      <w:r>
        <w:rPr>
          <w:rFonts w:hint="eastAsia" w:ascii="仿宋" w:hAnsi="仿宋" w:eastAsia="仿宋" w:cs="仿宋"/>
          <w:spacing w:val="0"/>
          <w:sz w:val="32"/>
          <w:szCs w:val="32"/>
        </w:rPr>
        <w:t>2016</w:t>
      </w:r>
      <w:r>
        <w:rPr>
          <w:rFonts w:hint="eastAsia" w:ascii="仿宋" w:hAnsi="仿宋" w:eastAsia="仿宋" w:cs="仿宋"/>
          <w:spacing w:val="0"/>
          <w:sz w:val="32"/>
          <w:szCs w:val="32"/>
        </w:rPr>
        <w:t>〕</w:t>
      </w:r>
      <w:r>
        <w:rPr>
          <w:rFonts w:hint="eastAsia" w:ascii="仿宋" w:hAnsi="仿宋" w:eastAsia="仿宋" w:cs="仿宋"/>
          <w:spacing w:val="0"/>
          <w:sz w:val="32"/>
          <w:szCs w:val="32"/>
        </w:rPr>
        <w:t>33</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rPr>
        <w:t>号</w:t>
      </w:r>
      <w:r>
        <w:rPr>
          <w:rFonts w:hint="eastAsia" w:ascii="仿宋" w:hAnsi="仿宋" w:eastAsia="仿宋" w:cs="仿宋"/>
          <w:spacing w:val="0"/>
          <w:sz w:val="32"/>
          <w:szCs w:val="32"/>
        </w:rPr>
        <w:t>）</w:t>
      </w:r>
      <w:r>
        <w:rPr>
          <w:rFonts w:hint="eastAsia" w:ascii="仿宋" w:hAnsi="仿宋" w:eastAsia="仿宋" w:cs="仿宋"/>
          <w:spacing w:val="0"/>
          <w:sz w:val="32"/>
          <w:szCs w:val="32"/>
        </w:rPr>
        <w:t>和《文化和旅游部关于印发〈全国文化市场黑名单管理办法〉的通知》</w:t>
      </w:r>
      <w:r>
        <w:rPr>
          <w:rFonts w:hint="eastAsia" w:ascii="仿宋" w:hAnsi="仿宋" w:eastAsia="仿宋" w:cs="仿宋"/>
          <w:spacing w:val="0"/>
          <w:sz w:val="32"/>
          <w:szCs w:val="32"/>
        </w:rPr>
        <w:t>（</w:t>
      </w:r>
      <w:r>
        <w:rPr>
          <w:rFonts w:hint="eastAsia" w:ascii="仿宋" w:hAnsi="仿宋" w:eastAsia="仿宋" w:cs="仿宋"/>
          <w:spacing w:val="0"/>
          <w:sz w:val="32"/>
          <w:szCs w:val="32"/>
        </w:rPr>
        <w:t>文旅市发〔</w:t>
      </w:r>
      <w:r>
        <w:rPr>
          <w:rFonts w:hint="eastAsia" w:ascii="仿宋" w:hAnsi="仿宋" w:eastAsia="仿宋" w:cs="仿宋"/>
          <w:spacing w:val="0"/>
          <w:sz w:val="32"/>
          <w:szCs w:val="32"/>
        </w:rPr>
        <w:t>2018</w:t>
      </w:r>
      <w:r>
        <w:rPr>
          <w:rFonts w:hint="eastAsia" w:ascii="仿宋" w:hAnsi="仿宋" w:eastAsia="仿宋" w:cs="仿宋"/>
          <w:spacing w:val="0"/>
          <w:sz w:val="32"/>
          <w:szCs w:val="32"/>
        </w:rPr>
        <w:t>〕</w:t>
      </w:r>
      <w:r>
        <w:rPr>
          <w:rFonts w:hint="eastAsia" w:ascii="仿宋" w:hAnsi="仿宋" w:eastAsia="仿宋" w:cs="仿宋"/>
          <w:spacing w:val="0"/>
          <w:sz w:val="32"/>
          <w:szCs w:val="32"/>
        </w:rPr>
        <w:t xml:space="preserve">30 </w:t>
      </w:r>
      <w:r>
        <w:rPr>
          <w:rFonts w:hint="eastAsia" w:ascii="仿宋" w:hAnsi="仿宋" w:eastAsia="仿宋" w:cs="仿宋"/>
          <w:spacing w:val="0"/>
          <w:sz w:val="32"/>
          <w:szCs w:val="32"/>
        </w:rPr>
        <w:t>号</w:t>
      </w:r>
      <w:r>
        <w:rPr>
          <w:rFonts w:hint="eastAsia" w:ascii="仿宋" w:hAnsi="仿宋" w:eastAsia="仿宋" w:cs="仿宋"/>
          <w:spacing w:val="0"/>
          <w:sz w:val="32"/>
          <w:szCs w:val="32"/>
        </w:rPr>
        <w:t>）</w:t>
      </w:r>
      <w:r>
        <w:rPr>
          <w:rFonts w:hint="eastAsia" w:ascii="仿宋" w:hAnsi="仿宋" w:eastAsia="仿宋" w:cs="仿宋"/>
          <w:spacing w:val="0"/>
          <w:sz w:val="32"/>
          <w:szCs w:val="32"/>
        </w:rPr>
        <w:t>等文件要求，加快推进文化市场领域信用体系建设，建立健全</w:t>
      </w:r>
      <w:r>
        <w:rPr>
          <w:rFonts w:hint="eastAsia" w:ascii="仿宋" w:hAnsi="仿宋" w:eastAsia="仿宋" w:cs="仿宋"/>
          <w:spacing w:val="0"/>
          <w:sz w:val="32"/>
          <w:szCs w:val="32"/>
        </w:rPr>
        <w:t>文化市场领域失信联合惩戒机制，国家发展改革委、人民银行、文</w:t>
      </w:r>
      <w:r>
        <w:rPr>
          <w:rFonts w:hint="eastAsia" w:ascii="仿宋" w:hAnsi="仿宋" w:eastAsia="仿宋" w:cs="仿宋"/>
          <w:spacing w:val="0"/>
          <w:sz w:val="32"/>
          <w:szCs w:val="32"/>
        </w:rPr>
        <w:t>化和旅游部、中央组织部、中央宣传部、中央统战部、中央文明办、</w:t>
      </w:r>
      <w:r>
        <w:rPr>
          <w:rFonts w:hint="eastAsia" w:ascii="仿宋" w:hAnsi="仿宋" w:eastAsia="仿宋" w:cs="仿宋"/>
          <w:spacing w:val="0"/>
          <w:sz w:val="32"/>
          <w:szCs w:val="32"/>
        </w:rPr>
        <w:t>科技部、财政部、人力资源社会保障部、自然资源部、海关总署、</w:t>
      </w:r>
      <w:r>
        <w:rPr>
          <w:rFonts w:hint="eastAsia" w:ascii="仿宋" w:hAnsi="仿宋" w:eastAsia="仿宋" w:cs="仿宋"/>
          <w:spacing w:val="0"/>
          <w:sz w:val="32"/>
          <w:szCs w:val="32"/>
        </w:rPr>
        <w:t>税务总局、市场监管总局、银保监会、证监会、全国总工会等部门</w:t>
      </w:r>
      <w:r>
        <w:rPr>
          <w:rFonts w:hint="eastAsia" w:ascii="仿宋" w:hAnsi="仿宋" w:eastAsia="仿宋" w:cs="仿宋"/>
          <w:spacing w:val="0"/>
          <w:sz w:val="32"/>
          <w:szCs w:val="32"/>
        </w:rPr>
        <w:t>就对文化市场领域严重违法失信市场主体及有关人员开展联合惩戒工作达成如下一致意见。</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一、联合惩戒对象</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联合惩戒对象为因严重违法失信被列入全国文化市场黑名单</w:t>
      </w:r>
      <w:r>
        <w:rPr>
          <w:rFonts w:hint="eastAsia" w:ascii="仿宋" w:hAnsi="仿宋" w:eastAsia="仿宋" w:cs="仿宋"/>
          <w:spacing w:val="0"/>
          <w:sz w:val="32"/>
          <w:szCs w:val="32"/>
        </w:rPr>
        <w:t>的市场主体及其法定代表人或者主要负责人。本备忘录所称文化市</w:t>
      </w:r>
      <w:r>
        <w:rPr>
          <w:rFonts w:hint="eastAsia" w:ascii="仿宋" w:hAnsi="仿宋" w:eastAsia="仿宋" w:cs="仿宋"/>
          <w:spacing w:val="0"/>
          <w:sz w:val="32"/>
          <w:szCs w:val="32"/>
        </w:rPr>
        <w:t>场主体包括从事营业性演出、娱乐场所、艺术品、互联网上网服务、网络文化等经营活动的企业和个体工商户。</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文化市场主体因违反相关法律法规受到行政处罚或者未经许</w:t>
      </w:r>
      <w:r>
        <w:rPr>
          <w:rFonts w:hint="eastAsia" w:ascii="仿宋" w:hAnsi="仿宋" w:eastAsia="仿宋" w:cs="仿宋"/>
          <w:spacing w:val="0"/>
          <w:sz w:val="32"/>
          <w:szCs w:val="32"/>
        </w:rPr>
        <w:t>可从事文化市场经营活动，有下列情形之一的，将文化市场主体及</w:t>
      </w:r>
      <w:r>
        <w:rPr>
          <w:rFonts w:hint="eastAsia" w:ascii="仿宋" w:hAnsi="仿宋" w:eastAsia="仿宋" w:cs="仿宋"/>
          <w:spacing w:val="0"/>
          <w:sz w:val="32"/>
          <w:szCs w:val="32"/>
        </w:rPr>
        <w:t>其法定代表人或者主要负责人列入全国文化市场黑名单管理：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（一）擅自从事文化市场经营活动，造成重大事故或恶劣社会影响的；</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（二）受到文化和旅游行政部门或者文化市场综合执法机构吊销许可证行政处罚的；</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w:t>
      </w:r>
      <w:r>
        <w:rPr>
          <w:rFonts w:hint="eastAsia" w:ascii="仿宋" w:hAnsi="仿宋" w:eastAsia="仿宋" w:cs="仿宋"/>
          <w:spacing w:val="0"/>
          <w:sz w:val="32"/>
          <w:szCs w:val="32"/>
        </w:rPr>
        <w:t>）</w:t>
      </w:r>
      <w:r>
        <w:rPr>
          <w:rFonts w:hint="eastAsia" w:ascii="仿宋" w:hAnsi="仿宋" w:eastAsia="仿宋" w:cs="仿宋"/>
          <w:spacing w:val="0"/>
          <w:sz w:val="32"/>
          <w:szCs w:val="32"/>
        </w:rPr>
        <w:t>因欺骗、故意隐匿、伪造变造材料等不正当手段取得的</w:t>
      </w:r>
      <w:r>
        <w:rPr>
          <w:rFonts w:hint="eastAsia" w:ascii="仿宋" w:hAnsi="仿宋" w:eastAsia="仿宋" w:cs="仿宋"/>
          <w:spacing w:val="0"/>
          <w:sz w:val="32"/>
          <w:szCs w:val="32"/>
        </w:rPr>
        <w:t>许可证、批准文件被文化和旅游行政部门撤销的，或者伪造、变造</w:t>
      </w:r>
      <w:r>
        <w:rPr>
          <w:rFonts w:hint="eastAsia" w:ascii="仿宋" w:hAnsi="仿宋" w:eastAsia="仿宋" w:cs="仿宋"/>
          <w:spacing w:val="0"/>
          <w:sz w:val="32"/>
          <w:szCs w:val="32"/>
        </w:rPr>
        <w:t>许可证、批准文件证据确凿的；</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（四）法律法规规章规定的其他应当列入全国文化市场黑名单的情形。</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二、联合惩戒措施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各部门依照有关规定，对联合惩戒对象采取下列一种或多种惩</w:t>
      </w:r>
      <w:r>
        <w:rPr>
          <w:rFonts w:hint="eastAsia" w:ascii="仿宋" w:hAnsi="仿宋" w:eastAsia="仿宋" w:cs="仿宋"/>
          <w:spacing w:val="0"/>
          <w:sz w:val="32"/>
          <w:szCs w:val="32"/>
        </w:rPr>
        <w:t>戒措施（相关法律及政策依据见附表）：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rPr>
      </w:pPr>
      <w:r>
        <w:rPr>
          <w:rFonts w:hint="eastAsia" w:ascii="楷体" w:hAnsi="楷体" w:eastAsia="楷体" w:cs="楷体"/>
          <w:spacing w:val="0"/>
          <w:sz w:val="32"/>
          <w:szCs w:val="32"/>
        </w:rPr>
        <w:t>（一）文化和旅游部采取的惩戒措施</w:t>
      </w:r>
    </w:p>
    <w:p>
      <w:pPr>
        <w:pStyle w:val="6"/>
        <w:keepNext w:val="0"/>
        <w:keepLines w:val="0"/>
        <w:pageBreakBefore w:val="0"/>
        <w:widowControl w:val="0"/>
        <w:numPr>
          <w:numId w:val="0"/>
        </w:numPr>
        <w:tabs>
          <w:tab w:val="left" w:pos="1136"/>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在申请行政审批项目方面从严审核。</w:t>
      </w:r>
    </w:p>
    <w:p>
      <w:pPr>
        <w:pStyle w:val="6"/>
        <w:keepNext w:val="0"/>
        <w:keepLines w:val="0"/>
        <w:pageBreakBefore w:val="0"/>
        <w:widowControl w:val="0"/>
        <w:numPr>
          <w:numId w:val="0"/>
        </w:numPr>
        <w:tabs>
          <w:tab w:val="left" w:pos="1136"/>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依法依规在市场准入等方面实施限制或者禁止措施。</w:t>
      </w:r>
    </w:p>
    <w:p>
      <w:pPr>
        <w:pStyle w:val="6"/>
        <w:keepNext w:val="0"/>
        <w:keepLines w:val="0"/>
        <w:pageBreakBefore w:val="0"/>
        <w:widowControl w:val="0"/>
        <w:numPr>
          <w:numId w:val="0"/>
        </w:numPr>
        <w:tabs>
          <w:tab w:val="left" w:pos="1136"/>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纳入重点监管对象，增加检查频次，加大监管力度。</w:t>
      </w:r>
    </w:p>
    <w:p>
      <w:pPr>
        <w:pStyle w:val="6"/>
        <w:keepNext w:val="0"/>
        <w:keepLines w:val="0"/>
        <w:pageBreakBefore w:val="0"/>
        <w:widowControl w:val="0"/>
        <w:numPr>
          <w:numId w:val="0"/>
        </w:numPr>
        <w:tabs>
          <w:tab w:val="left" w:pos="1136"/>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依法依规对再次违法违规行为给予从重处罚。</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禁止参与中国文化艺术政府奖文华奖、群星奖、动漫奖以及其他奖项的评选。</w:t>
      </w:r>
    </w:p>
    <w:p>
      <w:pPr>
        <w:pStyle w:val="6"/>
        <w:keepNext w:val="0"/>
        <w:keepLines w:val="0"/>
        <w:pageBreakBefore w:val="0"/>
        <w:widowControl w:val="0"/>
        <w:numPr>
          <w:numId w:val="0"/>
        </w:numPr>
        <w:tabs>
          <w:tab w:val="left" w:pos="1136"/>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限制参与或者享受文化和旅游部支持的政策试点、示范项目</w:t>
      </w:r>
      <w:r>
        <w:rPr>
          <w:rFonts w:hint="eastAsia" w:ascii="仿宋" w:hAnsi="仿宋" w:eastAsia="仿宋" w:cs="仿宋"/>
          <w:spacing w:val="0"/>
          <w:sz w:val="32"/>
          <w:szCs w:val="32"/>
        </w:rPr>
        <w:t>以及资金扶持等优惠措施。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rPr>
      </w:pPr>
      <w:r>
        <w:rPr>
          <w:rFonts w:hint="eastAsia" w:ascii="楷体" w:hAnsi="楷体" w:eastAsia="楷体" w:cs="楷体"/>
          <w:spacing w:val="0"/>
          <w:sz w:val="32"/>
          <w:szCs w:val="32"/>
        </w:rPr>
        <w:t>（二）跨部门联合惩戒措施</w:t>
      </w:r>
    </w:p>
    <w:p>
      <w:pPr>
        <w:pStyle w:val="6"/>
        <w:keepNext w:val="0"/>
        <w:keepLines w:val="0"/>
        <w:pageBreakBefore w:val="0"/>
        <w:widowControl w:val="0"/>
        <w:numPr>
          <w:ilvl w:val="0"/>
          <w:numId w:val="1"/>
        </w:numPr>
        <w:tabs>
          <w:tab w:val="left" w:pos="1136"/>
        </w:tabs>
        <w:kinsoku/>
        <w:wordWrap/>
        <w:overflowPunct/>
        <w:topLinePunct w:val="0"/>
        <w:autoSpaceDE w:val="0"/>
        <w:autoSpaceDN w:val="0"/>
        <w:bidi w:val="0"/>
        <w:adjustRightInd/>
        <w:snapToGrid/>
        <w:spacing w:before="0" w:after="0" w:line="600" w:lineRule="exact"/>
        <w:ind w:left="0" w:right="0" w:firstLine="672"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w w:val="105"/>
          <w:sz w:val="32"/>
          <w:szCs w:val="32"/>
        </w:rPr>
        <w:t>禁止参与“五个一工程”、道德模范、全国五一劳动奖、全</w:t>
      </w:r>
      <w:r>
        <w:rPr>
          <w:rFonts w:hint="eastAsia" w:ascii="仿宋" w:hAnsi="仿宋" w:eastAsia="仿宋" w:cs="仿宋"/>
          <w:spacing w:val="0"/>
          <w:w w:val="110"/>
          <w:sz w:val="32"/>
          <w:szCs w:val="32"/>
        </w:rPr>
        <w:t>国工人先锋号等荣誉称号或者奖项的评选。</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（实施部门：中央宣传部、中央文明办、全国总工会）</w:t>
      </w:r>
    </w:p>
    <w:p>
      <w:pPr>
        <w:pStyle w:val="6"/>
        <w:keepNext w:val="0"/>
        <w:keepLines w:val="0"/>
        <w:pageBreakBefore w:val="0"/>
        <w:widowControl w:val="0"/>
        <w:numPr>
          <w:ilvl w:val="0"/>
          <w:numId w:val="1"/>
        </w:numPr>
        <w:tabs>
          <w:tab w:val="left" w:pos="113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限制担任娱乐场所、互联网上网服务营业场所、经营性互联</w:t>
      </w:r>
      <w:r>
        <w:rPr>
          <w:rFonts w:hint="eastAsia" w:ascii="仿宋" w:hAnsi="仿宋" w:eastAsia="仿宋" w:cs="仿宋"/>
          <w:spacing w:val="0"/>
          <w:sz w:val="32"/>
          <w:szCs w:val="32"/>
        </w:rPr>
        <w:t>网文化单位、文艺表演团体、演出经纪机构、演出场所经营单位的</w:t>
      </w:r>
      <w:r>
        <w:rPr>
          <w:rFonts w:hint="eastAsia" w:ascii="仿宋" w:hAnsi="仿宋" w:eastAsia="仿宋" w:cs="仿宋"/>
          <w:spacing w:val="0"/>
          <w:sz w:val="32"/>
          <w:szCs w:val="32"/>
        </w:rPr>
        <w:t>法定代表人或者主要负责人。</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（实施部门：市场监管总局、文化和旅游部）</w:t>
      </w:r>
    </w:p>
    <w:p>
      <w:pPr>
        <w:pStyle w:val="6"/>
        <w:keepNext w:val="0"/>
        <w:keepLines w:val="0"/>
        <w:pageBreakBefore w:val="0"/>
        <w:widowControl w:val="0"/>
        <w:numPr>
          <w:ilvl w:val="0"/>
          <w:numId w:val="1"/>
        </w:numPr>
        <w:tabs>
          <w:tab w:val="left" w:pos="114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将失信信息作为投资入股商业银行以及银行授信决策和信贷管理的重要参考。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（实施部门：人民银行、银保监会）</w:t>
      </w:r>
    </w:p>
    <w:p>
      <w:pPr>
        <w:pStyle w:val="6"/>
        <w:keepNext w:val="0"/>
        <w:keepLines w:val="0"/>
        <w:pageBreakBefore w:val="0"/>
        <w:widowControl w:val="0"/>
        <w:numPr>
          <w:ilvl w:val="0"/>
          <w:numId w:val="1"/>
        </w:numPr>
        <w:tabs>
          <w:tab w:val="left" w:pos="113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将失信信息作为在股票、可转换债券发行审核及在全国中小</w:t>
      </w:r>
      <w:r>
        <w:rPr>
          <w:rFonts w:hint="eastAsia" w:ascii="仿宋" w:hAnsi="仿宋" w:eastAsia="仿宋" w:cs="仿宋"/>
          <w:spacing w:val="0"/>
          <w:sz w:val="32"/>
          <w:szCs w:val="32"/>
        </w:rPr>
        <w:t>企业股份转让系统挂牌公开转让审核的参考。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（实施部门：证监会）</w:t>
      </w:r>
    </w:p>
    <w:p>
      <w:pPr>
        <w:pStyle w:val="6"/>
        <w:keepNext w:val="0"/>
        <w:keepLines w:val="0"/>
        <w:pageBreakBefore w:val="0"/>
        <w:widowControl w:val="0"/>
        <w:numPr>
          <w:ilvl w:val="0"/>
          <w:numId w:val="1"/>
        </w:numPr>
        <w:tabs>
          <w:tab w:val="left" w:pos="1138"/>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依法对申请发行企业债券不予受理；依法将失信信息作为注</w:t>
      </w:r>
      <w:r>
        <w:rPr>
          <w:rFonts w:hint="eastAsia" w:ascii="仿宋" w:hAnsi="仿宋" w:eastAsia="仿宋" w:cs="仿宋"/>
          <w:spacing w:val="0"/>
          <w:sz w:val="32"/>
          <w:szCs w:val="32"/>
        </w:rPr>
        <w:t>册发行非金融企业债务融资工具的参考；依法将失信责任主体的违</w:t>
      </w:r>
      <w:r>
        <w:rPr>
          <w:rFonts w:hint="eastAsia" w:ascii="仿宋" w:hAnsi="仿宋" w:eastAsia="仿宋" w:cs="仿宋"/>
          <w:spacing w:val="0"/>
          <w:sz w:val="32"/>
          <w:szCs w:val="32"/>
        </w:rPr>
        <w:t>法失信记录作为公司债券核准或备案的参考。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（实施部门：国家发展改革委、证监会、人民银行）</w:t>
      </w:r>
    </w:p>
    <w:p>
      <w:pPr>
        <w:pStyle w:val="6"/>
        <w:keepNext w:val="0"/>
        <w:keepLines w:val="0"/>
        <w:pageBreakBefore w:val="0"/>
        <w:widowControl w:val="0"/>
        <w:numPr>
          <w:ilvl w:val="0"/>
          <w:numId w:val="1"/>
        </w:numPr>
        <w:tabs>
          <w:tab w:val="left" w:pos="113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在上市公司或者非上市公众公司收购事中事后监管中，对失信责任主体予以重点关注。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（实施部门：证监会）</w:t>
      </w:r>
    </w:p>
    <w:p>
      <w:pPr>
        <w:pStyle w:val="6"/>
        <w:keepNext w:val="0"/>
        <w:keepLines w:val="0"/>
        <w:pageBreakBefore w:val="0"/>
        <w:widowControl w:val="0"/>
        <w:numPr>
          <w:ilvl w:val="0"/>
          <w:numId w:val="1"/>
        </w:numPr>
        <w:tabs>
          <w:tab w:val="left" w:pos="109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将失信信息作为非上市公众公司</w:t>
      </w:r>
      <w:r>
        <w:rPr>
          <w:rFonts w:hint="eastAsia" w:ascii="仿宋" w:hAnsi="仿宋" w:eastAsia="仿宋" w:cs="仿宋"/>
          <w:spacing w:val="-20"/>
          <w:sz w:val="32"/>
          <w:szCs w:val="32"/>
        </w:rPr>
        <w:t>重大资产重组审核的参考。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（实施部门：证监会）</w:t>
      </w:r>
    </w:p>
    <w:p>
      <w:pPr>
        <w:pStyle w:val="6"/>
        <w:keepNext w:val="0"/>
        <w:keepLines w:val="0"/>
        <w:pageBreakBefore w:val="0"/>
        <w:widowControl w:val="0"/>
        <w:numPr>
          <w:ilvl w:val="0"/>
          <w:numId w:val="1"/>
        </w:numPr>
        <w:tabs>
          <w:tab w:val="left" w:pos="109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将失信信息作为独立基金销售机构审批的参考。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（实施部门：证监会）</w:t>
      </w:r>
    </w:p>
    <w:p>
      <w:pPr>
        <w:pStyle w:val="6"/>
        <w:keepNext w:val="0"/>
        <w:keepLines w:val="0"/>
        <w:pageBreakBefore w:val="0"/>
        <w:widowControl w:val="0"/>
        <w:numPr>
          <w:ilvl w:val="0"/>
          <w:numId w:val="1"/>
        </w:numPr>
        <w:tabs>
          <w:tab w:val="left" w:pos="109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对存在失信记录的相关主体在证券、基金、期货从业资格申</w:t>
      </w:r>
      <w:r>
        <w:rPr>
          <w:rFonts w:hint="eastAsia" w:ascii="仿宋" w:hAnsi="仿宋" w:eastAsia="仿宋" w:cs="仿宋"/>
          <w:spacing w:val="0"/>
          <w:sz w:val="32"/>
          <w:szCs w:val="32"/>
        </w:rPr>
        <w:t>请中予以从严审核，对已成为证券、基金、期货从业人员的相关主</w:t>
      </w:r>
      <w:r>
        <w:rPr>
          <w:rFonts w:hint="eastAsia" w:ascii="仿宋" w:hAnsi="仿宋" w:eastAsia="仿宋" w:cs="仿宋"/>
          <w:spacing w:val="0"/>
          <w:sz w:val="32"/>
          <w:szCs w:val="32"/>
        </w:rPr>
        <w:t>体予以重点关注。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（实施部门：证监会）</w:t>
      </w:r>
    </w:p>
    <w:p>
      <w:pPr>
        <w:pStyle w:val="6"/>
        <w:keepNext w:val="0"/>
        <w:keepLines w:val="0"/>
        <w:pageBreakBefore w:val="0"/>
        <w:widowControl w:val="0"/>
        <w:numPr>
          <w:ilvl w:val="0"/>
          <w:numId w:val="1"/>
        </w:numPr>
        <w:tabs>
          <w:tab w:val="left" w:pos="1241"/>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将失信信息作为证券公司、基金管理公司、期货公司的董</w:t>
      </w:r>
      <w:r>
        <w:rPr>
          <w:rFonts w:hint="eastAsia" w:ascii="仿宋" w:hAnsi="仿宋" w:eastAsia="仿宋" w:cs="仿宋"/>
          <w:spacing w:val="0"/>
          <w:sz w:val="32"/>
          <w:szCs w:val="32"/>
        </w:rPr>
        <w:t>事、监事和高级管理人员及分支机构负责人任职审批或备案的参考。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（实施部门：证监会）</w:t>
      </w:r>
    </w:p>
    <w:p>
      <w:pPr>
        <w:pStyle w:val="6"/>
        <w:keepNext w:val="0"/>
        <w:keepLines w:val="0"/>
        <w:pageBreakBefore w:val="0"/>
        <w:widowControl w:val="0"/>
        <w:numPr>
          <w:ilvl w:val="0"/>
          <w:numId w:val="1"/>
        </w:numPr>
        <w:tabs>
          <w:tab w:val="left" w:pos="123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将失信信息作为证券公司、基金管理公司及期货公司的设</w:t>
      </w:r>
      <w:r>
        <w:rPr>
          <w:rFonts w:hint="eastAsia" w:ascii="仿宋" w:hAnsi="仿宋" w:eastAsia="仿宋" w:cs="仿宋"/>
          <w:spacing w:val="0"/>
          <w:sz w:val="32"/>
          <w:szCs w:val="32"/>
        </w:rPr>
        <w:t>立及股权或实际控制人变更审批或备案、私募投资基金管理人登</w:t>
      </w:r>
      <w:r>
        <w:rPr>
          <w:rFonts w:hint="eastAsia" w:ascii="仿宋" w:hAnsi="仿宋" w:eastAsia="仿宋" w:cs="仿宋"/>
          <w:spacing w:val="0"/>
          <w:sz w:val="32"/>
          <w:szCs w:val="32"/>
        </w:rPr>
        <w:t>记、重大事项变更以及基金备案、相关责任人考核、干部选任等的</w:t>
      </w:r>
      <w:r>
        <w:rPr>
          <w:rFonts w:hint="eastAsia" w:ascii="仿宋" w:hAnsi="仿宋" w:eastAsia="仿宋" w:cs="仿宋"/>
          <w:spacing w:val="0"/>
          <w:sz w:val="32"/>
          <w:szCs w:val="32"/>
        </w:rPr>
        <w:t>重要参考。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（实施部门：证监会）</w:t>
      </w:r>
    </w:p>
    <w:p>
      <w:pPr>
        <w:pStyle w:val="6"/>
        <w:keepNext w:val="0"/>
        <w:keepLines w:val="0"/>
        <w:pageBreakBefore w:val="0"/>
        <w:widowControl w:val="0"/>
        <w:numPr>
          <w:ilvl w:val="0"/>
          <w:numId w:val="1"/>
        </w:numPr>
        <w:tabs>
          <w:tab w:val="left" w:pos="1241"/>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将失信信息作为境内上市公司实行股权激励计划相关人员成为股权激励对象事中事后监管的参考。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（实施部门：证监会）</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将失信信息作为纳税信用管理的审慎性参考。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（实施部门：税务总局）</w:t>
      </w:r>
    </w:p>
    <w:p>
      <w:pPr>
        <w:pStyle w:val="6"/>
        <w:keepNext w:val="0"/>
        <w:keepLines w:val="0"/>
        <w:pageBreakBefore w:val="0"/>
        <w:widowControl w:val="0"/>
        <w:numPr>
          <w:ilvl w:val="0"/>
          <w:numId w:val="1"/>
        </w:numPr>
        <w:tabs>
          <w:tab w:val="left" w:pos="127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加大进出口货物监管力度，加强布控查验、后续稽查或统</w:t>
      </w:r>
      <w:r>
        <w:rPr>
          <w:rFonts w:hint="eastAsia" w:ascii="仿宋" w:hAnsi="仿宋" w:eastAsia="仿宋" w:cs="仿宋"/>
          <w:spacing w:val="0"/>
          <w:sz w:val="32"/>
          <w:szCs w:val="32"/>
        </w:rPr>
        <w:t>计监督核查。对申请适用海关认证企业管理的，不予通过认证；已</w:t>
      </w:r>
      <w:r>
        <w:rPr>
          <w:rFonts w:hint="eastAsia" w:ascii="仿宋" w:hAnsi="仿宋" w:eastAsia="仿宋" w:cs="仿宋"/>
          <w:spacing w:val="0"/>
          <w:sz w:val="32"/>
          <w:szCs w:val="32"/>
        </w:rPr>
        <w:t>经成为认证企业的，按照规定下调企业信用等级。</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（实施部门：海关总署）</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依法在一定时期内禁止作为供应商参加政府采购活动。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（实施部门：财政部）</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对取得政府供应土地进行必要限制。</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（实施部门：自然资源部）</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将失信信息作为招标投标的重要参考。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（实施部门：国家发展改革委）</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将失信信息作为申请政府性资金支持的重要参考。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w:t>
      </w:r>
      <w:r>
        <w:rPr>
          <w:rFonts w:hint="eastAsia" w:ascii="仿宋" w:hAnsi="仿宋" w:eastAsia="仿宋" w:cs="仿宋"/>
          <w:spacing w:val="0"/>
          <w:sz w:val="32"/>
          <w:szCs w:val="32"/>
        </w:rPr>
        <w:t>实施部门：各级人民政府、国家发展改革委、财政部、文化</w:t>
      </w:r>
      <w:r>
        <w:rPr>
          <w:rFonts w:hint="eastAsia" w:ascii="仿宋" w:hAnsi="仿宋" w:eastAsia="仿宋" w:cs="仿宋"/>
          <w:spacing w:val="0"/>
          <w:sz w:val="32"/>
          <w:szCs w:val="32"/>
        </w:rPr>
        <w:t>和旅游部）</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招录（聘）为公务员或事业单位工作人员时，依法予以限制。</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（实施部门：中央组织部、人力资源社会保障部）</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限制推荐为人大代表候选人、政协委员人选。</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（实施部门：中央统战部、中央组织部）</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相关市场监督管理部门提高日常监督检查频次，加大随机抽查力度。</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（实施部门：各市场监管、行业主管部门）</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72"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w w:val="105"/>
          <w:sz w:val="32"/>
          <w:szCs w:val="32"/>
        </w:rPr>
        <w:t>通过中国文化市场网、“信用中国”网站和国家企业信用</w:t>
      </w:r>
      <w:r>
        <w:rPr>
          <w:rFonts w:hint="eastAsia" w:ascii="仿宋" w:hAnsi="仿宋" w:eastAsia="仿宋" w:cs="仿宋"/>
          <w:spacing w:val="0"/>
          <w:w w:val="110"/>
          <w:sz w:val="32"/>
          <w:szCs w:val="32"/>
        </w:rPr>
        <w:t>信息公示系统依法向社会公布。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20"/>
          <w:sz w:val="32"/>
          <w:szCs w:val="32"/>
        </w:rPr>
      </w:pPr>
      <w:r>
        <w:rPr>
          <w:rFonts w:hint="eastAsia" w:ascii="仿宋" w:hAnsi="仿宋" w:eastAsia="仿宋" w:cs="仿宋"/>
          <w:spacing w:val="0"/>
          <w:sz w:val="32"/>
          <w:szCs w:val="32"/>
        </w:rPr>
        <w:t>（</w:t>
      </w:r>
      <w:r>
        <w:rPr>
          <w:rFonts w:hint="eastAsia" w:ascii="仿宋" w:hAnsi="仿宋" w:eastAsia="仿宋" w:cs="仿宋"/>
          <w:spacing w:val="0"/>
          <w:sz w:val="32"/>
          <w:szCs w:val="32"/>
        </w:rPr>
        <w:t>实施部门：文化和旅游部</w:t>
      </w:r>
      <w:r>
        <w:rPr>
          <w:rFonts w:hint="eastAsia" w:ascii="仿宋" w:hAnsi="仿宋" w:eastAsia="仿宋" w:cs="仿宋"/>
          <w:spacing w:val="-20"/>
          <w:sz w:val="32"/>
          <w:szCs w:val="32"/>
        </w:rPr>
        <w:t>、国家发展改革委</w:t>
      </w:r>
      <w:r>
        <w:rPr>
          <w:rFonts w:hint="eastAsia" w:ascii="仿宋" w:hAnsi="仿宋" w:eastAsia="仿宋" w:cs="仿宋"/>
          <w:spacing w:val="-20"/>
          <w:sz w:val="32"/>
          <w:szCs w:val="32"/>
        </w:rPr>
        <w:t>、市场监管总局）</w:t>
      </w:r>
    </w:p>
    <w:p>
      <w:pPr>
        <w:pStyle w:val="6"/>
        <w:keepNext w:val="0"/>
        <w:keepLines w:val="0"/>
        <w:pageBreakBefore w:val="0"/>
        <w:widowControl w:val="0"/>
        <w:numPr>
          <w:ilvl w:val="0"/>
          <w:numId w:val="1"/>
        </w:numPr>
        <w:tabs>
          <w:tab w:val="left" w:pos="12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将失信信息纳入信用信息基础数据库，记入企业及个人信</w:t>
      </w:r>
      <w:r>
        <w:rPr>
          <w:rFonts w:hint="eastAsia" w:ascii="仿宋" w:hAnsi="仿宋" w:eastAsia="仿宋" w:cs="仿宋"/>
          <w:spacing w:val="0"/>
          <w:sz w:val="32"/>
          <w:szCs w:val="32"/>
        </w:rPr>
        <w:t>用记录。</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（实施部门：人民银行）</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三、联合惩戒的实施方式</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文化和旅游部负责建立全国文化市场黑名单管理制度，向社会</w:t>
      </w:r>
      <w:r>
        <w:rPr>
          <w:rFonts w:hint="eastAsia" w:ascii="仿宋" w:hAnsi="仿宋" w:eastAsia="仿宋" w:cs="仿宋"/>
          <w:spacing w:val="0"/>
          <w:sz w:val="32"/>
          <w:szCs w:val="32"/>
        </w:rPr>
        <w:t>统一发布全国文化市场黑名单，并通过全国信用信息共享平台向参</w:t>
      </w:r>
      <w:r>
        <w:rPr>
          <w:rFonts w:hint="eastAsia" w:ascii="仿宋" w:hAnsi="仿宋" w:eastAsia="仿宋" w:cs="仿宋"/>
          <w:spacing w:val="0"/>
          <w:sz w:val="32"/>
          <w:szCs w:val="32"/>
        </w:rPr>
        <w:t>与失信联合惩戒的各有关部门定期提供，同时依法依规在中国文化</w:t>
      </w:r>
      <w:r>
        <w:rPr>
          <w:rFonts w:hint="eastAsia" w:ascii="仿宋" w:hAnsi="仿宋" w:eastAsia="仿宋" w:cs="仿宋"/>
          <w:spacing w:val="0"/>
          <w:sz w:val="32"/>
          <w:szCs w:val="32"/>
        </w:rPr>
        <w:t>市场网、</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信用中国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网站、国家企业信用信息公示系统等网站公</w:t>
      </w:r>
      <w:r>
        <w:rPr>
          <w:rFonts w:hint="eastAsia" w:ascii="仿宋" w:hAnsi="仿宋" w:eastAsia="仿宋" w:cs="仿宋"/>
          <w:spacing w:val="0"/>
          <w:sz w:val="32"/>
          <w:szCs w:val="32"/>
        </w:rPr>
        <w:t>布。各有关部门获取全国文化市场</w:t>
      </w:r>
      <w:r>
        <w:rPr>
          <w:rFonts w:hint="eastAsia" w:ascii="仿宋" w:hAnsi="仿宋" w:eastAsia="仿宋" w:cs="仿宋"/>
          <w:spacing w:val="0"/>
          <w:sz w:val="32"/>
          <w:szCs w:val="32"/>
          <w:lang w:eastAsia="zh-CN"/>
        </w:rPr>
        <w:t>黑</w:t>
      </w:r>
      <w:r>
        <w:rPr>
          <w:rFonts w:hint="eastAsia" w:ascii="仿宋" w:hAnsi="仿宋" w:eastAsia="仿宋" w:cs="仿宋"/>
          <w:spacing w:val="0"/>
          <w:sz w:val="32"/>
          <w:szCs w:val="32"/>
        </w:rPr>
        <w:t>名单后，根据本备忘录约定的</w:t>
      </w:r>
      <w:r>
        <w:rPr>
          <w:rFonts w:hint="eastAsia" w:ascii="仿宋" w:hAnsi="仿宋" w:eastAsia="仿宋" w:cs="仿宋"/>
          <w:spacing w:val="0"/>
          <w:sz w:val="32"/>
          <w:szCs w:val="32"/>
        </w:rPr>
        <w:t>内容实施惩戒措施，并按照实际情况将联合惩戒措施的实施情况通</w:t>
      </w:r>
      <w:r>
        <w:rPr>
          <w:rFonts w:hint="eastAsia" w:ascii="仿宋" w:hAnsi="仿宋" w:eastAsia="仿宋" w:cs="仿宋"/>
          <w:spacing w:val="0"/>
          <w:sz w:val="32"/>
          <w:szCs w:val="32"/>
        </w:rPr>
        <w:t>过全国信用信息共享平台联合奖惩子系统反馈至国家发展改革委、</w:t>
      </w:r>
      <w:r>
        <w:rPr>
          <w:rFonts w:hint="eastAsia" w:ascii="仿宋" w:hAnsi="仿宋" w:eastAsia="仿宋" w:cs="仿宋"/>
          <w:spacing w:val="0"/>
          <w:sz w:val="32"/>
          <w:szCs w:val="32"/>
        </w:rPr>
        <w:t>文化和旅游部。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四、联合惩戒动态管理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文化和旅游部对全国文化市场黑名单实施动态管理，文化市场</w:t>
      </w:r>
      <w:r>
        <w:rPr>
          <w:rFonts w:hint="eastAsia" w:ascii="仿宋" w:hAnsi="仿宋" w:eastAsia="仿宋" w:cs="仿宋"/>
          <w:spacing w:val="0"/>
          <w:sz w:val="32"/>
          <w:szCs w:val="32"/>
        </w:rPr>
        <w:t>主体及其法定代表人或者主要负责人列入期满后，依程序从全国文化市场黑名单中予以移除，黑名单记录在电子档案中长期保存。文</w:t>
      </w:r>
      <w:r>
        <w:rPr>
          <w:rFonts w:hint="eastAsia" w:ascii="仿宋" w:hAnsi="仿宋" w:eastAsia="仿宋" w:cs="仿宋"/>
          <w:spacing w:val="0"/>
          <w:sz w:val="32"/>
          <w:szCs w:val="32"/>
        </w:rPr>
        <w:t>化和旅游部在全国信用信息共享平台中及时更新全国文化市场黑</w:t>
      </w:r>
      <w:r>
        <w:rPr>
          <w:rFonts w:hint="eastAsia" w:ascii="仿宋" w:hAnsi="仿宋" w:eastAsia="仿宋" w:cs="仿宋"/>
          <w:spacing w:val="0"/>
          <w:sz w:val="32"/>
          <w:szCs w:val="32"/>
        </w:rPr>
        <w:t>名单信息，各有关部门依据各自法定职责，按照法律法规和有关规定实施或解除惩戒措施。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五、其他事宜</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各部门应当密切协作，积极落实本备忘录。实施过程中涉及部门之间协调配合的问题，由各部门协商解决。</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本备忘录签署后，各项惩戒措施依据的法律、法规、规章及规</w:t>
      </w:r>
      <w:r>
        <w:rPr>
          <w:rFonts w:hint="eastAsia" w:ascii="仿宋" w:hAnsi="仿宋" w:eastAsia="仿宋" w:cs="仿宋"/>
          <w:spacing w:val="0"/>
          <w:sz w:val="32"/>
          <w:szCs w:val="32"/>
        </w:rPr>
        <w:t>范性文件有修改或调整的，以修改后的法律、法规、规章及规范性</w:t>
      </w:r>
      <w:r>
        <w:rPr>
          <w:rFonts w:hint="eastAsia" w:ascii="仿宋" w:hAnsi="仿宋" w:eastAsia="仿宋" w:cs="仿宋"/>
          <w:spacing w:val="0"/>
          <w:sz w:val="32"/>
          <w:szCs w:val="32"/>
        </w:rPr>
        <w:t>文件为准。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pPr>
      <w:r>
        <w:rPr>
          <w:rFonts w:hint="eastAsia" w:ascii="仿宋" w:hAnsi="仿宋" w:eastAsia="仿宋" w:cs="仿宋"/>
          <w:spacing w:val="0"/>
          <w:sz w:val="32"/>
          <w:szCs w:val="32"/>
        </w:rPr>
        <w:t>附表：惩戒措施相关依据和实施单位</w:t>
      </w:r>
    </w:p>
    <w:p>
      <w:pPr>
        <w:spacing w:after="0" w:line="516" w:lineRule="exact"/>
        <w:sectPr>
          <w:footerReference r:id="rId3" w:type="default"/>
          <w:pgSz w:w="11910" w:h="16840"/>
          <w:pgMar w:top="1871" w:right="1417" w:bottom="1871" w:left="1417" w:header="0" w:footer="989" w:gutter="0"/>
        </w:sectPr>
      </w:pPr>
    </w:p>
    <w:p>
      <w:pPr>
        <w:pStyle w:val="2"/>
        <w:rPr>
          <w:sz w:val="20"/>
        </w:rPr>
      </w:pPr>
    </w:p>
    <w:p>
      <w:pPr>
        <w:pStyle w:val="2"/>
        <w:spacing w:before="9"/>
        <w:rPr>
          <w:sz w:val="23"/>
        </w:rPr>
      </w:pPr>
    </w:p>
    <w:p>
      <w:pPr>
        <w:spacing w:before="54"/>
        <w:ind w:left="200" w:right="0" w:firstLine="0"/>
        <w:jc w:val="left"/>
        <w:rPr>
          <w:rFonts w:hint="eastAsia" w:ascii="黑体" w:eastAsia="黑体"/>
          <w:sz w:val="32"/>
          <w:lang w:eastAsia="zh-CN"/>
        </w:rPr>
      </w:pPr>
      <w:r>
        <w:rPr>
          <w:rFonts w:hint="eastAsia" w:ascii="黑体" w:eastAsia="黑体"/>
          <w:sz w:val="32"/>
        </w:rPr>
        <w:t>附表</w:t>
      </w:r>
      <w:r>
        <w:rPr>
          <w:rFonts w:hint="eastAsia" w:ascii="黑体" w:eastAsia="黑体"/>
          <w:sz w:val="32"/>
          <w:lang w:eastAsia="zh-CN"/>
        </w:rPr>
        <w:t>：</w:t>
      </w:r>
    </w:p>
    <w:p>
      <w:pPr>
        <w:spacing w:before="201"/>
        <w:ind w:left="4300" w:right="4300" w:firstLine="0"/>
        <w:jc w:val="center"/>
        <w:rPr>
          <w:rFonts w:hint="eastAsia" w:ascii="Arial Unicode MS" w:eastAsia="Arial Unicode MS"/>
          <w:sz w:val="44"/>
        </w:rPr>
      </w:pPr>
      <w:r>
        <w:rPr>
          <w:rFonts w:hint="eastAsia" w:ascii="Arial Unicode MS" w:eastAsia="Arial Unicode MS"/>
          <w:sz w:val="44"/>
        </w:rPr>
        <w:t>惩戒措施相关依据和实施单位</w:t>
      </w:r>
    </w:p>
    <w:p>
      <w:pPr>
        <w:pStyle w:val="2"/>
        <w:spacing w:before="16"/>
        <w:rPr>
          <w:sz w:val="5"/>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674" w:type="dxa"/>
          </w:tcPr>
          <w:p>
            <w:pPr>
              <w:pStyle w:val="7"/>
              <w:spacing w:before="141"/>
              <w:ind w:left="776"/>
              <w:rPr>
                <w:rFonts w:hint="eastAsia" w:ascii="黑体" w:eastAsia="黑体"/>
                <w:sz w:val="28"/>
              </w:rPr>
            </w:pPr>
            <w:r>
              <w:rPr>
                <w:rFonts w:hint="eastAsia" w:ascii="黑体" w:eastAsia="黑体"/>
                <w:sz w:val="28"/>
              </w:rPr>
              <w:t>惩戒措施</w:t>
            </w:r>
          </w:p>
        </w:tc>
        <w:tc>
          <w:tcPr>
            <w:tcW w:w="9598" w:type="dxa"/>
          </w:tcPr>
          <w:p>
            <w:pPr>
              <w:pStyle w:val="7"/>
              <w:spacing w:before="141"/>
              <w:ind w:left="3800" w:right="3788"/>
              <w:jc w:val="center"/>
              <w:rPr>
                <w:rFonts w:hint="eastAsia" w:ascii="黑体" w:eastAsia="黑体"/>
                <w:sz w:val="28"/>
              </w:rPr>
            </w:pPr>
            <w:r>
              <w:rPr>
                <w:rFonts w:hint="eastAsia" w:ascii="黑体" w:eastAsia="黑体"/>
                <w:sz w:val="28"/>
              </w:rPr>
              <w:t>法律及政策依据</w:t>
            </w:r>
          </w:p>
        </w:tc>
        <w:tc>
          <w:tcPr>
            <w:tcW w:w="1848" w:type="dxa"/>
          </w:tcPr>
          <w:p>
            <w:pPr>
              <w:pStyle w:val="7"/>
              <w:spacing w:before="141"/>
              <w:ind w:left="108"/>
              <w:rPr>
                <w:rFonts w:hint="eastAsia" w:ascii="黑体" w:eastAsia="黑体"/>
                <w:sz w:val="28"/>
              </w:rPr>
            </w:pPr>
            <w:r>
              <w:rPr>
                <w:rFonts w:hint="eastAsia" w:ascii="黑体" w:eastAsia="黑体"/>
                <w:sz w:val="28"/>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120" w:type="dxa"/>
            <w:gridSpan w:val="3"/>
          </w:tcPr>
          <w:p>
            <w:pPr>
              <w:pStyle w:val="7"/>
              <w:spacing w:before="6" w:line="293" w:lineRule="exact"/>
              <w:ind w:left="107"/>
              <w:rPr>
                <w:b/>
                <w:sz w:val="24"/>
              </w:rPr>
            </w:pPr>
            <w:r>
              <w:rPr>
                <w:b/>
                <w:sz w:val="24"/>
              </w:rPr>
              <w:t>（一）文化和旅游部采取的惩戒措施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1" w:hRule="atLeast"/>
        </w:trPr>
        <w:tc>
          <w:tcPr>
            <w:tcW w:w="2674" w:type="dxa"/>
          </w:tcPr>
          <w:p>
            <w:pPr>
              <w:pStyle w:val="7"/>
              <w:numPr>
                <w:ilvl w:val="0"/>
                <w:numId w:val="2"/>
              </w:numPr>
              <w:tabs>
                <w:tab w:val="left" w:pos="734"/>
              </w:tabs>
              <w:spacing w:before="6" w:after="0" w:line="249" w:lineRule="auto"/>
              <w:ind w:left="107" w:right="94" w:firstLine="360"/>
              <w:jc w:val="left"/>
              <w:rPr>
                <w:sz w:val="24"/>
              </w:rPr>
            </w:pPr>
            <w:r>
              <w:rPr>
                <w:spacing w:val="18"/>
                <w:sz w:val="24"/>
              </w:rPr>
              <w:t>在申请行政审批</w:t>
            </w:r>
            <w:r>
              <w:rPr>
                <w:sz w:val="24"/>
              </w:rPr>
              <w:t>项目方面从严审核。</w:t>
            </w:r>
          </w:p>
          <w:p>
            <w:pPr>
              <w:pStyle w:val="7"/>
              <w:numPr>
                <w:ilvl w:val="0"/>
                <w:numId w:val="2"/>
              </w:numPr>
              <w:tabs>
                <w:tab w:val="left" w:pos="734"/>
              </w:tabs>
              <w:spacing w:before="0" w:after="0" w:line="249" w:lineRule="auto"/>
              <w:ind w:left="107" w:right="94" w:firstLine="360"/>
              <w:jc w:val="both"/>
              <w:rPr>
                <w:sz w:val="24"/>
              </w:rPr>
            </w:pPr>
            <w:r>
              <w:rPr>
                <w:spacing w:val="18"/>
                <w:sz w:val="24"/>
              </w:rPr>
              <w:t>依法依规在市场</w:t>
            </w:r>
            <w:r>
              <w:rPr>
                <w:spacing w:val="2"/>
                <w:sz w:val="24"/>
              </w:rPr>
              <w:t>准入等方面实施限制或</w:t>
            </w:r>
            <w:r>
              <w:rPr>
                <w:sz w:val="24"/>
              </w:rPr>
              <w:t>者禁止措施。</w:t>
            </w:r>
          </w:p>
          <w:p>
            <w:pPr>
              <w:pStyle w:val="7"/>
              <w:numPr>
                <w:ilvl w:val="0"/>
                <w:numId w:val="2"/>
              </w:numPr>
              <w:tabs>
                <w:tab w:val="left" w:pos="734"/>
              </w:tabs>
              <w:spacing w:before="0" w:after="0" w:line="249" w:lineRule="auto"/>
              <w:ind w:left="107" w:right="94" w:firstLine="360"/>
              <w:jc w:val="both"/>
              <w:rPr>
                <w:sz w:val="24"/>
              </w:rPr>
            </w:pPr>
            <w:r>
              <w:rPr>
                <w:spacing w:val="18"/>
                <w:sz w:val="24"/>
              </w:rPr>
              <w:t>纳入重点监管对</w:t>
            </w:r>
            <w:r>
              <w:rPr>
                <w:spacing w:val="2"/>
                <w:sz w:val="24"/>
              </w:rPr>
              <w:t>象，增加检查频次，加</w:t>
            </w:r>
            <w:r>
              <w:rPr>
                <w:sz w:val="24"/>
              </w:rPr>
              <w:t>大监管力度。</w:t>
            </w:r>
          </w:p>
          <w:p>
            <w:pPr>
              <w:pStyle w:val="7"/>
              <w:numPr>
                <w:ilvl w:val="0"/>
                <w:numId w:val="2"/>
              </w:numPr>
              <w:tabs>
                <w:tab w:val="left" w:pos="734"/>
              </w:tabs>
              <w:spacing w:before="0" w:after="0" w:line="249" w:lineRule="auto"/>
              <w:ind w:left="107" w:right="94" w:firstLine="360"/>
              <w:jc w:val="both"/>
              <w:rPr>
                <w:sz w:val="24"/>
              </w:rPr>
            </w:pPr>
            <w:r>
              <w:rPr>
                <w:spacing w:val="18"/>
                <w:sz w:val="24"/>
              </w:rPr>
              <w:t>依法依规对再次</w:t>
            </w:r>
            <w:r>
              <w:rPr>
                <w:spacing w:val="2"/>
                <w:sz w:val="24"/>
              </w:rPr>
              <w:t>违法违规行为给予从重</w:t>
            </w:r>
            <w:r>
              <w:rPr>
                <w:sz w:val="24"/>
              </w:rPr>
              <w:t>处罚。</w:t>
            </w:r>
          </w:p>
          <w:p>
            <w:pPr>
              <w:pStyle w:val="7"/>
              <w:numPr>
                <w:ilvl w:val="0"/>
                <w:numId w:val="2"/>
              </w:numPr>
              <w:tabs>
                <w:tab w:val="left" w:pos="734"/>
              </w:tabs>
              <w:spacing w:before="0" w:after="0" w:line="249" w:lineRule="auto"/>
              <w:ind w:left="107" w:right="94" w:firstLine="360"/>
              <w:jc w:val="both"/>
              <w:rPr>
                <w:sz w:val="24"/>
              </w:rPr>
            </w:pPr>
            <w:r>
              <w:rPr>
                <w:spacing w:val="18"/>
                <w:sz w:val="24"/>
              </w:rPr>
              <w:t>禁止参与中国文</w:t>
            </w:r>
            <w:r>
              <w:rPr>
                <w:spacing w:val="2"/>
                <w:sz w:val="24"/>
              </w:rPr>
              <w:t>化艺术政府奖文华奖、群星奖、动漫奖以及其</w:t>
            </w:r>
            <w:r>
              <w:rPr>
                <w:sz w:val="24"/>
              </w:rPr>
              <w:t>他奖项的评选。</w:t>
            </w:r>
          </w:p>
          <w:p>
            <w:pPr>
              <w:pStyle w:val="7"/>
              <w:numPr>
                <w:ilvl w:val="0"/>
                <w:numId w:val="2"/>
              </w:numPr>
              <w:tabs>
                <w:tab w:val="left" w:pos="267"/>
              </w:tabs>
              <w:spacing w:before="0" w:after="0" w:line="305" w:lineRule="exact"/>
              <w:ind w:left="733" w:right="94" w:hanging="734"/>
              <w:jc w:val="right"/>
              <w:rPr>
                <w:sz w:val="24"/>
              </w:rPr>
            </w:pPr>
            <w:r>
              <w:rPr>
                <w:spacing w:val="20"/>
                <w:sz w:val="24"/>
              </w:rPr>
              <w:t>限制参与或者享</w:t>
            </w:r>
          </w:p>
          <w:p>
            <w:pPr>
              <w:pStyle w:val="7"/>
              <w:spacing w:before="2" w:line="290" w:lineRule="exact"/>
              <w:ind w:right="97"/>
              <w:jc w:val="right"/>
              <w:rPr>
                <w:sz w:val="24"/>
              </w:rPr>
            </w:pPr>
            <w:r>
              <w:rPr>
                <w:spacing w:val="3"/>
                <w:sz w:val="24"/>
              </w:rPr>
              <w:t>受文化和旅游部门支持</w:t>
            </w:r>
          </w:p>
        </w:tc>
        <w:tc>
          <w:tcPr>
            <w:tcW w:w="9598" w:type="dxa"/>
          </w:tcPr>
          <w:p>
            <w:pPr>
              <w:pStyle w:val="7"/>
              <w:numPr>
                <w:ilvl w:val="0"/>
                <w:numId w:val="3"/>
              </w:numPr>
              <w:tabs>
                <w:tab w:val="left" w:pos="831"/>
              </w:tabs>
              <w:spacing w:before="6" w:after="0" w:line="240" w:lineRule="auto"/>
              <w:ind w:left="830" w:right="0" w:hanging="245"/>
              <w:jc w:val="both"/>
              <w:rPr>
                <w:b/>
                <w:sz w:val="24"/>
              </w:rPr>
            </w:pPr>
            <w:r>
              <w:rPr>
                <w:b/>
                <w:sz w:val="24"/>
              </w:rPr>
              <w:t>《娱乐场所管理条例》（</w:t>
            </w:r>
            <w:r>
              <w:rPr>
                <w:b/>
                <w:spacing w:val="-11"/>
                <w:sz w:val="24"/>
              </w:rPr>
              <w:t xml:space="preserve">国务院令第 </w:t>
            </w:r>
            <w:r>
              <w:rPr>
                <w:b/>
                <w:sz w:val="24"/>
              </w:rPr>
              <w:t>458</w:t>
            </w:r>
            <w:r>
              <w:rPr>
                <w:b/>
                <w:spacing w:val="-31"/>
                <w:sz w:val="24"/>
              </w:rPr>
              <w:t xml:space="preserve"> 号</w:t>
            </w:r>
            <w:r>
              <w:rPr>
                <w:b/>
                <w:sz w:val="24"/>
              </w:rPr>
              <w:t>）</w:t>
            </w:r>
          </w:p>
          <w:p>
            <w:pPr>
              <w:pStyle w:val="7"/>
              <w:spacing w:before="11" w:line="249" w:lineRule="auto"/>
              <w:ind w:left="106" w:right="97" w:firstLine="480"/>
              <w:jc w:val="both"/>
              <w:rPr>
                <w:sz w:val="24"/>
              </w:rPr>
            </w:pPr>
            <w:r>
              <w:rPr>
                <w:sz w:val="24"/>
              </w:rPr>
              <w:t>第三十五条 文化主管部门应当建立娱乐场所的经营活动信用监管制度，建立健全信用约束机制，并及时公布行政处罚信息。</w:t>
            </w:r>
          </w:p>
          <w:p>
            <w:pPr>
              <w:pStyle w:val="7"/>
              <w:spacing w:line="249" w:lineRule="auto"/>
              <w:ind w:left="106" w:right="95" w:firstLine="480"/>
              <w:jc w:val="both"/>
              <w:rPr>
                <w:sz w:val="24"/>
              </w:rPr>
            </w:pPr>
            <w:r>
              <w:rPr>
                <w:sz w:val="24"/>
              </w:rPr>
              <w:t>第五十三条 因擅自从事娱乐场所经营活动被依法取缔的，其投资人员和负责人终身不得投资开办娱乐场所或者担任娱乐场所的法定代表人、负责人。</w:t>
            </w:r>
          </w:p>
          <w:p>
            <w:pPr>
              <w:pStyle w:val="7"/>
              <w:numPr>
                <w:ilvl w:val="0"/>
                <w:numId w:val="3"/>
              </w:numPr>
              <w:tabs>
                <w:tab w:val="left" w:pos="831"/>
              </w:tabs>
              <w:spacing w:before="0" w:after="0" w:line="306" w:lineRule="exact"/>
              <w:ind w:left="830" w:right="0" w:hanging="245"/>
              <w:jc w:val="both"/>
              <w:rPr>
                <w:b/>
                <w:sz w:val="24"/>
              </w:rPr>
            </w:pPr>
            <w:r>
              <w:rPr>
                <w:b/>
                <w:sz w:val="24"/>
              </w:rPr>
              <w:t>《营业性演出管理条例》（</w:t>
            </w:r>
            <w:r>
              <w:rPr>
                <w:b/>
                <w:spacing w:val="-11"/>
                <w:sz w:val="24"/>
              </w:rPr>
              <w:t xml:space="preserve">国务院令第 </w:t>
            </w:r>
            <w:r>
              <w:rPr>
                <w:b/>
                <w:sz w:val="24"/>
              </w:rPr>
              <w:t>528</w:t>
            </w:r>
            <w:r>
              <w:rPr>
                <w:b/>
                <w:spacing w:val="-30"/>
                <w:sz w:val="24"/>
              </w:rPr>
              <w:t xml:space="preserve"> 号</w:t>
            </w:r>
            <w:r>
              <w:rPr>
                <w:b/>
                <w:sz w:val="24"/>
              </w:rPr>
              <w:t>）</w:t>
            </w:r>
          </w:p>
          <w:p>
            <w:pPr>
              <w:pStyle w:val="7"/>
              <w:spacing w:before="11" w:line="249" w:lineRule="auto"/>
              <w:ind w:left="106" w:right="95" w:firstLine="480"/>
              <w:jc w:val="both"/>
              <w:rPr>
                <w:sz w:val="24"/>
              </w:rPr>
            </w:pPr>
            <w:r>
              <w:rPr>
                <w:sz w:val="24"/>
              </w:rPr>
              <w:t>第三十五条 文化主管部门应当建立营业性演出经营主体的经营活动信用监管制度， 建立健全信用约束机制，并及时公布行政处罚信息。</w:t>
            </w:r>
          </w:p>
          <w:p>
            <w:pPr>
              <w:pStyle w:val="7"/>
              <w:spacing w:line="249" w:lineRule="auto"/>
              <w:ind w:left="106" w:right="97" w:firstLine="480"/>
              <w:jc w:val="both"/>
              <w:rPr>
                <w:sz w:val="24"/>
              </w:rPr>
            </w:pPr>
            <w:r>
              <w:rPr>
                <w:sz w:val="24"/>
              </w:rPr>
              <w:t>第五十三条 因营业性演出有本条例第二十五条禁止情形被文化主管部门吊销营业性演出许可证，或者被工商行政管理部门吊销营业执照或者责令变更登记的，不得再次从事营业性演出或者营业性演出的居间、代理、行纪活动。</w:t>
            </w:r>
          </w:p>
          <w:p>
            <w:pPr>
              <w:pStyle w:val="7"/>
              <w:numPr>
                <w:ilvl w:val="0"/>
                <w:numId w:val="3"/>
              </w:numPr>
              <w:tabs>
                <w:tab w:val="left" w:pos="831"/>
              </w:tabs>
              <w:spacing w:before="0" w:after="0" w:line="306" w:lineRule="exact"/>
              <w:ind w:left="830" w:right="0" w:hanging="245"/>
              <w:jc w:val="both"/>
              <w:rPr>
                <w:b/>
                <w:sz w:val="24"/>
              </w:rPr>
            </w:pPr>
            <w:r>
              <w:rPr>
                <w:b/>
                <w:sz w:val="24"/>
              </w:rPr>
              <w:t>《互联网上网服务营业场所管理条例》（</w:t>
            </w:r>
            <w:r>
              <w:rPr>
                <w:b/>
                <w:spacing w:val="-11"/>
                <w:sz w:val="24"/>
              </w:rPr>
              <w:t xml:space="preserve">国务院令第 </w:t>
            </w:r>
            <w:r>
              <w:rPr>
                <w:b/>
                <w:sz w:val="24"/>
              </w:rPr>
              <w:t>363</w:t>
            </w:r>
            <w:r>
              <w:rPr>
                <w:b/>
                <w:spacing w:val="-31"/>
                <w:sz w:val="24"/>
              </w:rPr>
              <w:t xml:space="preserve"> 号</w:t>
            </w:r>
            <w:r>
              <w:rPr>
                <w:b/>
                <w:sz w:val="24"/>
              </w:rPr>
              <w:t>）</w:t>
            </w:r>
          </w:p>
          <w:p>
            <w:pPr>
              <w:pStyle w:val="7"/>
              <w:spacing w:before="8" w:line="249" w:lineRule="auto"/>
              <w:ind w:left="106" w:right="97" w:firstLine="480"/>
              <w:jc w:val="both"/>
              <w:rPr>
                <w:sz w:val="24"/>
              </w:rPr>
            </w:pPr>
            <w:r>
              <w:rPr>
                <w:spacing w:val="-1"/>
                <w:sz w:val="24"/>
              </w:rPr>
              <w:t>第二十八条 文化行政部门应当建立互联网上网服务营业场所经营单位的经营活动信</w:t>
            </w:r>
            <w:r>
              <w:rPr>
                <w:sz w:val="24"/>
              </w:rPr>
              <w:t>用监管制度，建立健全信用约束机制，并及时公布行政处罚信息。</w:t>
            </w:r>
          </w:p>
          <w:p>
            <w:pPr>
              <w:pStyle w:val="7"/>
              <w:numPr>
                <w:ilvl w:val="0"/>
                <w:numId w:val="3"/>
              </w:numPr>
              <w:tabs>
                <w:tab w:val="left" w:pos="831"/>
              </w:tabs>
              <w:spacing w:before="0" w:after="0" w:line="306" w:lineRule="exact"/>
              <w:ind w:left="830" w:right="0" w:hanging="245"/>
              <w:jc w:val="both"/>
              <w:rPr>
                <w:b/>
                <w:sz w:val="24"/>
              </w:rPr>
            </w:pPr>
            <w:r>
              <w:rPr>
                <w:b/>
                <w:sz w:val="24"/>
              </w:rPr>
              <w:t>《企业信息公示暂行条例》（</w:t>
            </w:r>
            <w:r>
              <w:rPr>
                <w:b/>
                <w:spacing w:val="-11"/>
                <w:sz w:val="24"/>
              </w:rPr>
              <w:t xml:space="preserve">国务院令第 </w:t>
            </w:r>
            <w:r>
              <w:rPr>
                <w:b/>
                <w:sz w:val="24"/>
              </w:rPr>
              <w:t>654</w:t>
            </w:r>
            <w:r>
              <w:rPr>
                <w:b/>
                <w:spacing w:val="-32"/>
                <w:sz w:val="24"/>
              </w:rPr>
              <w:t xml:space="preserve"> 号</w:t>
            </w:r>
            <w:r>
              <w:rPr>
                <w:b/>
                <w:sz w:val="24"/>
              </w:rPr>
              <w:t>）</w:t>
            </w:r>
          </w:p>
          <w:p>
            <w:pPr>
              <w:pStyle w:val="7"/>
              <w:spacing w:line="320" w:lineRule="atLeast"/>
              <w:ind w:left="106" w:right="95" w:firstLine="480"/>
              <w:jc w:val="both"/>
              <w:rPr>
                <w:sz w:val="24"/>
              </w:rPr>
            </w:pPr>
            <w:r>
              <w:rPr>
                <w:sz w:val="24"/>
              </w:rPr>
              <w:t>第十八条 县级以上地方人民政府及其有关部门应当建立健全信用约束机制，在政府采购、工程招投标、国有土地出让、授予荣誉称号等工作中，将企业信息作为重要考量因</w:t>
            </w:r>
          </w:p>
        </w:tc>
        <w:tc>
          <w:tcPr>
            <w:tcW w:w="1848" w:type="dxa"/>
          </w:tcPr>
          <w:p>
            <w:pPr>
              <w:pStyle w:val="7"/>
              <w:rPr>
                <w:rFonts w:ascii="Arial Unicode MS"/>
                <w:sz w:val="24"/>
              </w:rPr>
            </w:pPr>
          </w:p>
          <w:p>
            <w:pPr>
              <w:pStyle w:val="7"/>
              <w:rPr>
                <w:rFonts w:ascii="Arial Unicode MS"/>
                <w:sz w:val="24"/>
              </w:rPr>
            </w:pPr>
          </w:p>
          <w:p>
            <w:pPr>
              <w:pStyle w:val="7"/>
              <w:rPr>
                <w:rFonts w:ascii="Arial Unicode MS"/>
                <w:sz w:val="24"/>
              </w:rPr>
            </w:pPr>
          </w:p>
          <w:p>
            <w:pPr>
              <w:pStyle w:val="7"/>
              <w:rPr>
                <w:rFonts w:ascii="Arial Unicode MS"/>
                <w:sz w:val="24"/>
              </w:rPr>
            </w:pPr>
          </w:p>
          <w:p>
            <w:pPr>
              <w:pStyle w:val="7"/>
              <w:rPr>
                <w:rFonts w:ascii="Arial Unicode MS"/>
                <w:sz w:val="24"/>
              </w:rPr>
            </w:pPr>
          </w:p>
          <w:p>
            <w:pPr>
              <w:pStyle w:val="7"/>
              <w:spacing w:before="15"/>
              <w:rPr>
                <w:rFonts w:ascii="Arial Unicode MS"/>
                <w:sz w:val="26"/>
              </w:rPr>
            </w:pPr>
          </w:p>
          <w:p>
            <w:pPr>
              <w:pStyle w:val="7"/>
              <w:ind w:left="108"/>
              <w:rPr>
                <w:sz w:val="24"/>
              </w:rPr>
            </w:pPr>
            <w:r>
              <w:rPr>
                <w:sz w:val="24"/>
              </w:rPr>
              <w:t>文化和旅游部</w:t>
            </w:r>
          </w:p>
        </w:tc>
      </w:tr>
    </w:tbl>
    <w:p>
      <w:pPr>
        <w:spacing w:after="0"/>
        <w:rPr>
          <w:sz w:val="24"/>
        </w:rPr>
        <w:sectPr>
          <w:footerReference r:id="rId4" w:type="default"/>
          <w:pgSz w:w="16840" w:h="11910" w:orient="landscape"/>
          <w:pgMar w:top="1100" w:right="1240" w:bottom="1100" w:left="1240" w:header="0" w:footer="909" w:gutter="0"/>
          <w:pgNumType w:start="8"/>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2" w:hRule="atLeast"/>
        </w:trPr>
        <w:tc>
          <w:tcPr>
            <w:tcW w:w="2674" w:type="dxa"/>
          </w:tcPr>
          <w:p>
            <w:pPr>
              <w:pStyle w:val="7"/>
              <w:spacing w:before="5" w:line="249" w:lineRule="auto"/>
              <w:ind w:left="107" w:right="97"/>
              <w:jc w:val="both"/>
              <w:rPr>
                <w:sz w:val="24"/>
              </w:rPr>
            </w:pPr>
            <w:r>
              <w:rPr>
                <w:sz w:val="24"/>
              </w:rPr>
              <w:t>的政策试点、示范项目以及资金扶持等政策优惠措施。</w:t>
            </w:r>
          </w:p>
        </w:tc>
        <w:tc>
          <w:tcPr>
            <w:tcW w:w="9598" w:type="dxa"/>
          </w:tcPr>
          <w:p>
            <w:pPr>
              <w:pStyle w:val="7"/>
              <w:spacing w:before="5"/>
              <w:ind w:left="106"/>
              <w:rPr>
                <w:sz w:val="24"/>
              </w:rPr>
            </w:pPr>
            <w:r>
              <w:rPr>
                <w:sz w:val="24"/>
              </w:rPr>
              <w:t>素，对被列入经营异常名录或者严重违法企业名单的企业依法予以限制或者禁入。</w:t>
            </w:r>
          </w:p>
          <w:p>
            <w:pPr>
              <w:pStyle w:val="7"/>
              <w:numPr>
                <w:ilvl w:val="0"/>
                <w:numId w:val="4"/>
              </w:numPr>
              <w:tabs>
                <w:tab w:val="left" w:pos="831"/>
              </w:tabs>
              <w:spacing w:before="11" w:after="0" w:line="249" w:lineRule="auto"/>
              <w:ind w:left="106" w:right="59" w:firstLine="480"/>
              <w:jc w:val="left"/>
              <w:rPr>
                <w:b/>
                <w:sz w:val="24"/>
              </w:rPr>
            </w:pPr>
            <w:r>
              <w:rPr>
                <w:b/>
                <w:spacing w:val="-1"/>
                <w:sz w:val="24"/>
              </w:rPr>
              <w:t>《国务院办公厅关于推广随机抽查规范事中事后监管的通知》</w:t>
            </w:r>
            <w:r>
              <w:rPr>
                <w:b/>
                <w:sz w:val="24"/>
              </w:rPr>
              <w:t>（国办发〔2015</w:t>
            </w:r>
            <w:r>
              <w:rPr>
                <w:b/>
                <w:spacing w:val="-3"/>
                <w:sz w:val="24"/>
              </w:rPr>
              <w:t>〕</w:t>
            </w:r>
            <w:r>
              <w:rPr>
                <w:b/>
                <w:sz w:val="24"/>
              </w:rPr>
              <w:t>58 号）</w:t>
            </w:r>
          </w:p>
          <w:p>
            <w:pPr>
              <w:pStyle w:val="7"/>
              <w:spacing w:line="306" w:lineRule="exact"/>
              <w:ind w:left="586"/>
              <w:rPr>
                <w:sz w:val="24"/>
              </w:rPr>
            </w:pPr>
            <w:r>
              <w:rPr>
                <w:sz w:val="24"/>
              </w:rPr>
              <w:t>二、大力推广随机抽查监管</w:t>
            </w:r>
          </w:p>
          <w:p>
            <w:pPr>
              <w:pStyle w:val="7"/>
              <w:spacing w:before="12" w:line="249" w:lineRule="auto"/>
              <w:ind w:left="106" w:right="97" w:firstLine="480"/>
              <w:rPr>
                <w:sz w:val="24"/>
              </w:rPr>
            </w:pPr>
            <w:r>
              <w:rPr>
                <w:sz w:val="24"/>
              </w:rPr>
              <w:t>（三）合理确定随机抽查的比例和频次。对投诉举报多、列入经营异常名录或有严重违法违规记录等情况的市场主体，要加大随机抽查力度。</w:t>
            </w:r>
          </w:p>
          <w:p>
            <w:pPr>
              <w:pStyle w:val="7"/>
              <w:numPr>
                <w:ilvl w:val="0"/>
                <w:numId w:val="4"/>
              </w:numPr>
              <w:tabs>
                <w:tab w:val="left" w:pos="831"/>
              </w:tabs>
              <w:spacing w:before="0" w:after="0" w:line="249" w:lineRule="auto"/>
              <w:ind w:left="106" w:right="61" w:firstLine="480"/>
              <w:jc w:val="left"/>
              <w:rPr>
                <w:b/>
                <w:sz w:val="24"/>
              </w:rPr>
            </w:pPr>
            <w:r>
              <w:rPr>
                <w:b/>
                <w:sz w:val="24"/>
              </w:rPr>
              <w:t>《国务院关于建立完善守信联合激励和失信联合惩戒制度加快推进社会诚信建设的指导意见》（国发〔2016〕33</w:t>
            </w:r>
            <w:r>
              <w:rPr>
                <w:b/>
                <w:spacing w:val="-31"/>
                <w:sz w:val="24"/>
              </w:rPr>
              <w:t xml:space="preserve"> 号</w:t>
            </w:r>
            <w:r>
              <w:rPr>
                <w:b/>
                <w:sz w:val="24"/>
              </w:rPr>
              <w:t>）</w:t>
            </w:r>
          </w:p>
          <w:p>
            <w:pPr>
              <w:pStyle w:val="7"/>
              <w:spacing w:line="249" w:lineRule="auto"/>
              <w:ind w:left="106" w:right="97" w:firstLine="480"/>
              <w:jc w:val="both"/>
              <w:rPr>
                <w:sz w:val="24"/>
              </w:rPr>
            </w:pPr>
            <w:r>
              <w:rPr>
                <w:sz w:val="24"/>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w:t>
            </w:r>
          </w:p>
          <w:p>
            <w:pPr>
              <w:pStyle w:val="7"/>
              <w:spacing w:line="285" w:lineRule="exact"/>
              <w:ind w:left="106"/>
              <w:rPr>
                <w:sz w:val="24"/>
              </w:rPr>
            </w:pPr>
            <w:r>
              <w:rPr>
                <w:sz w:val="24"/>
              </w:rPr>
              <w:t>荣誉称号，取消参加评先评优资格。</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4120" w:type="dxa"/>
            <w:gridSpan w:val="3"/>
          </w:tcPr>
          <w:p>
            <w:pPr>
              <w:pStyle w:val="7"/>
              <w:spacing w:before="5" w:line="293" w:lineRule="exact"/>
              <w:ind w:left="107"/>
              <w:rPr>
                <w:b/>
                <w:sz w:val="24"/>
              </w:rPr>
            </w:pPr>
            <w:r>
              <w:rPr>
                <w:b/>
                <w:sz w:val="24"/>
              </w:rPr>
              <w:t>（二）跨部门联合惩戒措施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2674" w:type="dxa"/>
          </w:tcPr>
          <w:p>
            <w:pPr>
              <w:pStyle w:val="7"/>
              <w:spacing w:before="164" w:line="249" w:lineRule="auto"/>
              <w:ind w:left="107" w:right="97" w:firstLine="480"/>
              <w:jc w:val="both"/>
              <w:rPr>
                <w:sz w:val="24"/>
              </w:rPr>
            </w:pPr>
            <w:r>
              <w:rPr>
                <w:sz w:val="24"/>
              </w:rPr>
              <w:t>1.禁止参与“五个一工程”、道德模范、全国五一劳动奖、全国工人先锋号等荣誉称号或者奖项的评选。</w:t>
            </w:r>
          </w:p>
        </w:tc>
        <w:tc>
          <w:tcPr>
            <w:tcW w:w="9598" w:type="dxa"/>
          </w:tcPr>
          <w:p>
            <w:pPr>
              <w:pStyle w:val="7"/>
              <w:numPr>
                <w:ilvl w:val="0"/>
                <w:numId w:val="5"/>
              </w:numPr>
              <w:tabs>
                <w:tab w:val="left" w:pos="831"/>
              </w:tabs>
              <w:spacing w:before="5" w:after="0" w:line="240" w:lineRule="auto"/>
              <w:ind w:left="830" w:right="0" w:hanging="245"/>
              <w:jc w:val="both"/>
              <w:rPr>
                <w:b/>
                <w:sz w:val="24"/>
              </w:rPr>
            </w:pPr>
            <w:r>
              <w:rPr>
                <w:b/>
                <w:sz w:val="24"/>
              </w:rPr>
              <w:t>《企业信息公示暂行条例》（</w:t>
            </w:r>
            <w:r>
              <w:rPr>
                <w:b/>
                <w:spacing w:val="-10"/>
                <w:sz w:val="24"/>
              </w:rPr>
              <w:t xml:space="preserve">国务院令第 </w:t>
            </w:r>
            <w:r>
              <w:rPr>
                <w:b/>
                <w:sz w:val="24"/>
              </w:rPr>
              <w:t>654</w:t>
            </w:r>
            <w:r>
              <w:rPr>
                <w:b/>
                <w:spacing w:val="-31"/>
                <w:sz w:val="24"/>
              </w:rPr>
              <w:t xml:space="preserve"> 号</w:t>
            </w:r>
            <w:r>
              <w:rPr>
                <w:b/>
                <w:sz w:val="24"/>
              </w:rPr>
              <w:t>）</w:t>
            </w:r>
          </w:p>
          <w:p>
            <w:pPr>
              <w:pStyle w:val="7"/>
              <w:spacing w:before="12" w:line="249" w:lineRule="auto"/>
              <w:ind w:left="106" w:right="95" w:firstLine="480"/>
              <w:jc w:val="both"/>
              <w:rPr>
                <w:sz w:val="24"/>
              </w:rPr>
            </w:pPr>
            <w:r>
              <w:rPr>
                <w:sz w:val="24"/>
              </w:rPr>
              <w:t>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pPr>
              <w:pStyle w:val="7"/>
              <w:numPr>
                <w:ilvl w:val="0"/>
                <w:numId w:val="5"/>
              </w:numPr>
              <w:tabs>
                <w:tab w:val="left" w:pos="831"/>
              </w:tabs>
              <w:spacing w:before="0" w:after="0" w:line="306" w:lineRule="exact"/>
              <w:ind w:left="830" w:right="0" w:hanging="245"/>
              <w:jc w:val="left"/>
              <w:rPr>
                <w:b/>
                <w:sz w:val="24"/>
              </w:rPr>
            </w:pPr>
            <w:r>
              <w:rPr>
                <w:b/>
                <w:sz w:val="24"/>
              </w:rPr>
              <w:t>《国务院关于建立完善守信联合激励和失信联合惩戒制度加快推进社会诚信建设的</w:t>
            </w:r>
          </w:p>
          <w:p>
            <w:pPr>
              <w:pStyle w:val="7"/>
              <w:spacing w:before="12" w:line="290" w:lineRule="exact"/>
              <w:ind w:left="106"/>
              <w:rPr>
                <w:b/>
                <w:sz w:val="24"/>
              </w:rPr>
            </w:pPr>
            <w:r>
              <w:rPr>
                <w:b/>
                <w:sz w:val="24"/>
              </w:rPr>
              <w:t>指导意见》（国发〔2016〕33 号）</w:t>
            </w:r>
          </w:p>
        </w:tc>
        <w:tc>
          <w:tcPr>
            <w:tcW w:w="1848" w:type="dxa"/>
          </w:tcPr>
          <w:p>
            <w:pPr>
              <w:pStyle w:val="7"/>
              <w:rPr>
                <w:rFonts w:ascii="Times New Roman"/>
                <w:sz w:val="24"/>
              </w:rPr>
            </w:pPr>
          </w:p>
          <w:p>
            <w:pPr>
              <w:pStyle w:val="7"/>
              <w:spacing w:before="207" w:line="249" w:lineRule="auto"/>
              <w:ind w:left="108" w:right="287"/>
              <w:jc w:val="both"/>
              <w:rPr>
                <w:sz w:val="24"/>
              </w:rPr>
            </w:pPr>
            <w:r>
              <w:rPr>
                <w:sz w:val="24"/>
              </w:rPr>
              <w:t>中央宣传部、中央文明办、全国总工会</w:t>
            </w:r>
          </w:p>
        </w:tc>
      </w:tr>
    </w:tbl>
    <w:p>
      <w:pPr>
        <w:spacing w:after="0" w:line="249" w:lineRule="auto"/>
        <w:jc w:val="both"/>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674" w:type="dxa"/>
          </w:tcPr>
          <w:p>
            <w:pPr>
              <w:pStyle w:val="7"/>
              <w:rPr>
                <w:rFonts w:ascii="Times New Roman"/>
                <w:sz w:val="24"/>
              </w:rPr>
            </w:pPr>
          </w:p>
        </w:tc>
        <w:tc>
          <w:tcPr>
            <w:tcW w:w="9598" w:type="dxa"/>
          </w:tcPr>
          <w:p>
            <w:pPr>
              <w:pStyle w:val="7"/>
              <w:spacing w:before="5"/>
              <w:ind w:left="106" w:firstLine="480"/>
              <w:rPr>
                <w:sz w:val="24"/>
              </w:rPr>
            </w:pPr>
            <w:r>
              <w:rPr>
                <w:sz w:val="24"/>
              </w:rPr>
              <w:t>（十）依法依规加强对失信行为的行政性约束和惩戒。及时撤销严重失信企业及其</w:t>
            </w:r>
          </w:p>
          <w:p>
            <w:pPr>
              <w:pStyle w:val="7"/>
              <w:spacing w:line="320" w:lineRule="atLeast"/>
              <w:ind w:left="106" w:right="97"/>
              <w:rPr>
                <w:sz w:val="24"/>
              </w:rPr>
            </w:pPr>
            <w:r>
              <w:rPr>
                <w:sz w:val="24"/>
              </w:rPr>
              <w:t>法定代表人、负责人、高级管理人员和对失信行为负有直接责任的董事、股东等人员的荣誉称号，取消参加评先评优资格。</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6"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6"/>
              </w:rPr>
            </w:pPr>
          </w:p>
          <w:p>
            <w:pPr>
              <w:pStyle w:val="7"/>
              <w:spacing w:line="249" w:lineRule="auto"/>
              <w:ind w:left="107" w:right="94" w:firstLine="360"/>
              <w:jc w:val="both"/>
              <w:rPr>
                <w:sz w:val="24"/>
              </w:rPr>
            </w:pPr>
            <w:r>
              <w:rPr>
                <w:sz w:val="24"/>
              </w:rPr>
              <w:t>2. 限制担任娱乐场所、互联网上网服务营业场所、经营性互联网文化单位、文艺表演团体、演出经纪机构、演出场所经营单位的法定代表人或者主要负责人。</w:t>
            </w:r>
          </w:p>
        </w:tc>
        <w:tc>
          <w:tcPr>
            <w:tcW w:w="9598" w:type="dxa"/>
          </w:tcPr>
          <w:p>
            <w:pPr>
              <w:pStyle w:val="7"/>
              <w:numPr>
                <w:ilvl w:val="0"/>
                <w:numId w:val="6"/>
              </w:numPr>
              <w:tabs>
                <w:tab w:val="left" w:pos="831"/>
              </w:tabs>
              <w:spacing w:before="5" w:after="0" w:line="240" w:lineRule="auto"/>
              <w:ind w:left="830" w:right="0" w:hanging="245"/>
              <w:jc w:val="left"/>
              <w:rPr>
                <w:b/>
                <w:sz w:val="24"/>
              </w:rPr>
            </w:pPr>
            <w:r>
              <w:rPr>
                <w:b/>
                <w:sz w:val="24"/>
              </w:rPr>
              <w:t>《中华人民共和国公司法》</w:t>
            </w:r>
          </w:p>
          <w:p>
            <w:pPr>
              <w:pStyle w:val="7"/>
              <w:tabs>
                <w:tab w:val="left" w:pos="2506"/>
              </w:tabs>
              <w:spacing w:before="12" w:line="249" w:lineRule="auto"/>
              <w:ind w:left="106" w:right="-29" w:firstLine="480"/>
              <w:rPr>
                <w:sz w:val="24"/>
              </w:rPr>
            </w:pPr>
            <w:r>
              <w:rPr>
                <w:sz w:val="24"/>
              </w:rPr>
              <w:t>第一百四十六条</w:t>
            </w:r>
            <w:r>
              <w:rPr>
                <w:sz w:val="24"/>
              </w:rPr>
              <w:tab/>
            </w:r>
            <w:r>
              <w:rPr>
                <w:sz w:val="24"/>
              </w:rPr>
              <w:t>有下列情形之一的</w:t>
            </w:r>
            <w:r>
              <w:rPr>
                <w:spacing w:val="-116"/>
                <w:sz w:val="24"/>
              </w:rPr>
              <w:t>，</w:t>
            </w:r>
            <w:r>
              <w:rPr>
                <w:sz w:val="24"/>
              </w:rPr>
              <w:t>不得担任公司的董事</w:t>
            </w:r>
            <w:r>
              <w:rPr>
                <w:spacing w:val="-113"/>
                <w:sz w:val="24"/>
              </w:rPr>
              <w:t>、</w:t>
            </w:r>
            <w:r>
              <w:rPr>
                <w:sz w:val="24"/>
              </w:rPr>
              <w:t>监事</w:t>
            </w:r>
            <w:r>
              <w:rPr>
                <w:spacing w:val="-116"/>
                <w:sz w:val="24"/>
              </w:rPr>
              <w:t>、</w:t>
            </w:r>
            <w:r>
              <w:rPr>
                <w:sz w:val="24"/>
              </w:rPr>
              <w:t>高级管理人员</w:t>
            </w:r>
            <w:r>
              <w:rPr>
                <w:spacing w:val="-113"/>
                <w:sz w:val="24"/>
              </w:rPr>
              <w:t>：</w:t>
            </w:r>
            <w:r>
              <w:rPr>
                <w:sz w:val="24"/>
              </w:rPr>
              <w:t>(一)无民事行为能力或者限制民事行为能力；(二)因贪污、贿赂、侵占财产、挪用财产或者破坏社会主义市场经济秩序</w:t>
            </w:r>
            <w:r>
              <w:rPr>
                <w:spacing w:val="-32"/>
                <w:sz w:val="24"/>
              </w:rPr>
              <w:t>，</w:t>
            </w:r>
            <w:r>
              <w:rPr>
                <w:sz w:val="24"/>
              </w:rPr>
              <w:t>被判处刑罚</w:t>
            </w:r>
            <w:r>
              <w:rPr>
                <w:spacing w:val="-34"/>
                <w:sz w:val="24"/>
              </w:rPr>
              <w:t>，</w:t>
            </w:r>
            <w:r>
              <w:rPr>
                <w:sz w:val="24"/>
              </w:rPr>
              <w:t>执行期满未逾五年</w:t>
            </w:r>
            <w:r>
              <w:rPr>
                <w:spacing w:val="-32"/>
                <w:sz w:val="24"/>
              </w:rPr>
              <w:t>，</w:t>
            </w:r>
            <w:r>
              <w:rPr>
                <w:sz w:val="24"/>
              </w:rPr>
              <w:t>或者因犯罪被剥夺政治权利</w:t>
            </w:r>
            <w:r>
              <w:rPr>
                <w:spacing w:val="-11"/>
                <w:sz w:val="24"/>
              </w:rPr>
              <w:t xml:space="preserve">， </w:t>
            </w:r>
            <w:r>
              <w:rPr>
                <w:sz w:val="24"/>
              </w:rPr>
              <w:t>执行期满未逾五年；(三)担任破产清算的公司、企业的董事或者厂长、经理，对该公司、企业的破产负有个人责任的，自该公司、企业破产清算完结之日起未逾三年；(四)担任因违法被吊销营业执照、责令关闭的公司、企业的法定代表人，并负有个人责任的，自该公司、企业被吊销营业执照之日起未逾三年；(五)个人所负数额较大的债务到期未清偿。</w:t>
            </w:r>
          </w:p>
          <w:p>
            <w:pPr>
              <w:pStyle w:val="7"/>
              <w:spacing w:line="249" w:lineRule="auto"/>
              <w:ind w:left="106" w:right="119" w:firstLine="480"/>
              <w:rPr>
                <w:sz w:val="24"/>
              </w:rPr>
            </w:pPr>
            <w:r>
              <w:rPr>
                <w:sz w:val="24"/>
              </w:rPr>
              <w:t>公司违反前款规定选举、委派董事、监事或者聘任高级管理人员的，该选举、委派或者聘任无效。</w:t>
            </w:r>
          </w:p>
          <w:p>
            <w:pPr>
              <w:pStyle w:val="7"/>
              <w:spacing w:line="247" w:lineRule="auto"/>
              <w:ind w:left="106" w:right="119" w:firstLine="480"/>
              <w:rPr>
                <w:sz w:val="24"/>
              </w:rPr>
            </w:pPr>
            <w:r>
              <w:rPr>
                <w:sz w:val="24"/>
              </w:rPr>
              <w:t>董事、监事、高级管理人员在任职期间出现本条第一款所列情形的，公司应当解除其职务。</w:t>
            </w:r>
          </w:p>
          <w:p>
            <w:pPr>
              <w:pStyle w:val="7"/>
              <w:numPr>
                <w:ilvl w:val="0"/>
                <w:numId w:val="6"/>
              </w:numPr>
              <w:tabs>
                <w:tab w:val="left" w:pos="831"/>
              </w:tabs>
              <w:spacing w:before="0" w:after="0" w:line="240" w:lineRule="auto"/>
              <w:ind w:left="830" w:right="0" w:hanging="245"/>
              <w:jc w:val="left"/>
              <w:rPr>
                <w:b/>
                <w:sz w:val="24"/>
              </w:rPr>
            </w:pPr>
            <w:r>
              <w:rPr>
                <w:b/>
                <w:sz w:val="24"/>
              </w:rPr>
              <w:t>《企业法人法定代表人登记管理规定》（国函〔1999〕47号）</w:t>
            </w:r>
          </w:p>
          <w:p>
            <w:pPr>
              <w:pStyle w:val="7"/>
              <w:tabs>
                <w:tab w:val="left" w:pos="1546"/>
              </w:tabs>
              <w:spacing w:before="8" w:line="249" w:lineRule="auto"/>
              <w:ind w:left="586" w:right="359"/>
              <w:rPr>
                <w:sz w:val="24"/>
              </w:rPr>
            </w:pPr>
            <w:r>
              <w:rPr>
                <w:sz w:val="24"/>
              </w:rPr>
              <w:t>第四条</w:t>
            </w:r>
            <w:r>
              <w:rPr>
                <w:sz w:val="24"/>
              </w:rPr>
              <w:tab/>
            </w:r>
            <w:r>
              <w:rPr>
                <w:sz w:val="24"/>
              </w:rPr>
              <w:t>有下列情形之一的，不得担任法定代表人，企业登记机关不予核准登记</w:t>
            </w:r>
            <w:r>
              <w:rPr>
                <w:spacing w:val="-17"/>
                <w:sz w:val="24"/>
              </w:rPr>
              <w:t xml:space="preserve">： </w:t>
            </w:r>
            <w:r>
              <w:rPr>
                <w:sz w:val="24"/>
              </w:rPr>
              <w:t>(一)无民事行为能力或者限制民事行为能力的；</w:t>
            </w:r>
          </w:p>
          <w:p>
            <w:pPr>
              <w:pStyle w:val="7"/>
              <w:spacing w:line="249" w:lineRule="auto"/>
              <w:ind w:left="586" w:right="3167"/>
              <w:rPr>
                <w:sz w:val="24"/>
              </w:rPr>
            </w:pPr>
            <w:r>
              <w:rPr>
                <w:spacing w:val="-1"/>
                <w:sz w:val="24"/>
              </w:rPr>
              <w:t xml:space="preserve">(二)正在被执行刑罚或者正在被执行刑事强制措施的； </w:t>
            </w:r>
            <w:r>
              <w:rPr>
                <w:sz w:val="24"/>
              </w:rPr>
              <w:t>(三)正在被公安机关或者国家安全机关通缉的；</w:t>
            </w:r>
          </w:p>
          <w:p>
            <w:pPr>
              <w:pStyle w:val="7"/>
              <w:spacing w:line="249" w:lineRule="auto"/>
              <w:ind w:left="106" w:right="-29" w:firstLine="480"/>
              <w:rPr>
                <w:sz w:val="24"/>
              </w:rPr>
            </w:pPr>
            <w:r>
              <w:rPr>
                <w:spacing w:val="-7"/>
                <w:sz w:val="24"/>
              </w:rPr>
              <w:t xml:space="preserve">(四)因犯有贪污贿赂罪、侵犯财产罪或者破坏社会主义市场经济秩序罪，被判处刑罚， </w:t>
            </w:r>
            <w:r>
              <w:rPr>
                <w:sz w:val="24"/>
              </w:rPr>
              <w:t>执行期满未逾五年的；因犯有其他罪，被判处刑罚，执行期满未逾三年的；或者因犯罪被判处剥夺政治权利，执行期满未逾五年的；</w:t>
            </w:r>
          </w:p>
          <w:p>
            <w:pPr>
              <w:pStyle w:val="7"/>
              <w:spacing w:line="306" w:lineRule="exact"/>
              <w:ind w:left="586"/>
              <w:rPr>
                <w:sz w:val="24"/>
              </w:rPr>
            </w:pPr>
            <w:r>
              <w:rPr>
                <w:sz w:val="24"/>
              </w:rPr>
              <w:t>(五)担任因经营不善破产清算的企业的法定代表人或者董事、经理，并对该企业的破</w:t>
            </w:r>
          </w:p>
          <w:p>
            <w:pPr>
              <w:pStyle w:val="7"/>
              <w:spacing w:before="10" w:line="290" w:lineRule="exact"/>
              <w:ind w:left="106"/>
              <w:rPr>
                <w:sz w:val="24"/>
              </w:rPr>
            </w:pPr>
            <w:r>
              <w:rPr>
                <w:sz w:val="24"/>
              </w:rPr>
              <w:t>产负有个人责任，自该企业破产清算完结之日起未逾三年的；</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1" w:line="247" w:lineRule="auto"/>
              <w:ind w:left="108" w:right="47"/>
              <w:rPr>
                <w:sz w:val="24"/>
              </w:rPr>
            </w:pPr>
            <w:r>
              <w:rPr>
                <w:sz w:val="24"/>
              </w:rPr>
              <w:t>市场监管总局、文化和旅游部</w:t>
            </w:r>
          </w:p>
        </w:tc>
      </w:tr>
    </w:tbl>
    <w:p>
      <w:pPr>
        <w:spacing w:after="0" w:line="247" w:lineRule="auto"/>
        <w:rPr>
          <w:sz w:val="24"/>
        </w:rPr>
        <w:sectPr>
          <w:footerReference r:id="rId5" w:type="default"/>
          <w:pgSz w:w="16840" w:h="11910" w:orient="landscape"/>
          <w:pgMar w:top="1100" w:right="1240" w:bottom="1100" w:left="1240" w:header="0" w:footer="909" w:gutter="0"/>
          <w:pgNumType w:start="1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3" w:hRule="atLeast"/>
        </w:trPr>
        <w:tc>
          <w:tcPr>
            <w:tcW w:w="2674" w:type="dxa"/>
          </w:tcPr>
          <w:p>
            <w:pPr>
              <w:pStyle w:val="7"/>
              <w:rPr>
                <w:rFonts w:ascii="Times New Roman"/>
                <w:sz w:val="24"/>
              </w:rPr>
            </w:pPr>
          </w:p>
        </w:tc>
        <w:tc>
          <w:tcPr>
            <w:tcW w:w="9598" w:type="dxa"/>
          </w:tcPr>
          <w:p>
            <w:pPr>
              <w:pStyle w:val="7"/>
              <w:spacing w:before="5" w:line="249" w:lineRule="auto"/>
              <w:ind w:left="106" w:right="119" w:firstLine="480"/>
              <w:rPr>
                <w:sz w:val="24"/>
              </w:rPr>
            </w:pPr>
            <w:r>
              <w:rPr>
                <w:sz w:val="24"/>
              </w:rPr>
              <w:t>(六)担任因违法被吊销营业执照的企业的法定代表人，并对该企业违法行为负有个人责任，自该企业被吊销营业执照之日起未逾三年的；</w:t>
            </w:r>
          </w:p>
          <w:p>
            <w:pPr>
              <w:pStyle w:val="7"/>
              <w:spacing w:line="306" w:lineRule="exact"/>
              <w:ind w:left="586"/>
              <w:rPr>
                <w:sz w:val="24"/>
              </w:rPr>
            </w:pPr>
            <w:r>
              <w:rPr>
                <w:sz w:val="24"/>
              </w:rPr>
              <w:t>(七)个人负债数额较大，到期未清偿的；</w:t>
            </w:r>
          </w:p>
          <w:p>
            <w:pPr>
              <w:pStyle w:val="7"/>
              <w:spacing w:before="11" w:line="249" w:lineRule="auto"/>
              <w:ind w:left="589" w:right="2519" w:hanging="3"/>
              <w:rPr>
                <w:b/>
                <w:sz w:val="24"/>
              </w:rPr>
            </w:pPr>
            <w:r>
              <w:rPr>
                <w:sz w:val="24"/>
              </w:rPr>
              <w:t>(八)有法律和国务院规定不得担任法定代表人的其他情形的。</w:t>
            </w:r>
            <w:r>
              <w:rPr>
                <w:b/>
                <w:sz w:val="24"/>
              </w:rPr>
              <w:t>3.《娱乐场所管理条例》（国务院令第 458 号）</w:t>
            </w:r>
          </w:p>
          <w:p>
            <w:pPr>
              <w:pStyle w:val="7"/>
              <w:tabs>
                <w:tab w:val="left" w:pos="2031"/>
              </w:tabs>
              <w:spacing w:line="249" w:lineRule="auto"/>
              <w:ind w:left="106" w:right="97" w:firstLine="480"/>
              <w:rPr>
                <w:sz w:val="24"/>
              </w:rPr>
            </w:pPr>
            <w:r>
              <w:rPr>
                <w:sz w:val="24"/>
              </w:rPr>
              <w:t>第三十五条</w:t>
            </w:r>
            <w:r>
              <w:rPr>
                <w:sz w:val="24"/>
              </w:rPr>
              <w:tab/>
            </w:r>
            <w:r>
              <w:rPr>
                <w:sz w:val="24"/>
              </w:rPr>
              <w:t>文化主管部门应当建立娱乐场所的经营活动信用监管制度，建立健全</w:t>
            </w:r>
            <w:r>
              <w:rPr>
                <w:spacing w:val="-14"/>
                <w:sz w:val="24"/>
              </w:rPr>
              <w:t>信</w:t>
            </w:r>
            <w:r>
              <w:rPr>
                <w:sz w:val="24"/>
              </w:rPr>
              <w:t>用约束机制，并及时公布行政处罚信息。</w:t>
            </w:r>
          </w:p>
          <w:p>
            <w:pPr>
              <w:pStyle w:val="7"/>
              <w:tabs>
                <w:tab w:val="left" w:pos="2031"/>
              </w:tabs>
              <w:spacing w:line="249" w:lineRule="auto"/>
              <w:ind w:left="106" w:right="95" w:firstLine="480"/>
              <w:rPr>
                <w:sz w:val="24"/>
              </w:rPr>
            </w:pPr>
            <w:r>
              <w:rPr>
                <w:sz w:val="24"/>
              </w:rPr>
              <w:t>第五十三条</w:t>
            </w:r>
            <w:r>
              <w:rPr>
                <w:sz w:val="24"/>
              </w:rPr>
              <w:tab/>
            </w:r>
            <w:r>
              <w:rPr>
                <w:sz w:val="24"/>
              </w:rPr>
              <w:t>因擅自从事娱乐场所经营活动被依法取缔的，其投资人员和负责人终</w:t>
            </w:r>
            <w:r>
              <w:rPr>
                <w:spacing w:val="-14"/>
                <w:sz w:val="24"/>
              </w:rPr>
              <w:t>身</w:t>
            </w:r>
            <w:r>
              <w:rPr>
                <w:sz w:val="24"/>
              </w:rPr>
              <w:t>不得投资开办娱乐场所或者担任娱乐场所的法定代表人、负责人。</w:t>
            </w:r>
          </w:p>
          <w:p>
            <w:pPr>
              <w:pStyle w:val="7"/>
              <w:spacing w:line="249" w:lineRule="auto"/>
              <w:ind w:left="106" w:right="97" w:firstLine="480"/>
              <w:rPr>
                <w:sz w:val="24"/>
              </w:rPr>
            </w:pPr>
            <w:r>
              <w:rPr>
                <w:sz w:val="24"/>
              </w:rPr>
              <w:t>娱乐场所因违反本条例规定，被吊销或者撤销娱乐经营许可证的，自被吊销或者撤销之日起，其法定代表人、负责人 5 年内不得担任娱乐场所的法定代表人、负责人。</w:t>
            </w:r>
          </w:p>
          <w:p>
            <w:pPr>
              <w:pStyle w:val="7"/>
              <w:numPr>
                <w:ilvl w:val="0"/>
                <w:numId w:val="7"/>
              </w:numPr>
              <w:tabs>
                <w:tab w:val="left" w:pos="831"/>
              </w:tabs>
              <w:spacing w:before="0" w:after="0" w:line="306" w:lineRule="exact"/>
              <w:ind w:left="830" w:right="0" w:hanging="245"/>
              <w:jc w:val="left"/>
              <w:rPr>
                <w:b/>
                <w:sz w:val="24"/>
              </w:rPr>
            </w:pPr>
            <w:r>
              <w:rPr>
                <w:b/>
                <w:sz w:val="24"/>
              </w:rPr>
              <w:t>《互联网上网服务营业场所管理条例》（</w:t>
            </w:r>
            <w:r>
              <w:rPr>
                <w:b/>
                <w:spacing w:val="-11"/>
                <w:sz w:val="24"/>
              </w:rPr>
              <w:t xml:space="preserve">国务院令第 </w:t>
            </w:r>
            <w:r>
              <w:rPr>
                <w:b/>
                <w:sz w:val="24"/>
              </w:rPr>
              <w:t>363</w:t>
            </w:r>
            <w:r>
              <w:rPr>
                <w:b/>
                <w:spacing w:val="-31"/>
                <w:sz w:val="24"/>
              </w:rPr>
              <w:t xml:space="preserve"> 号</w:t>
            </w:r>
            <w:r>
              <w:rPr>
                <w:b/>
                <w:sz w:val="24"/>
              </w:rPr>
              <w:t>）</w:t>
            </w:r>
          </w:p>
          <w:p>
            <w:pPr>
              <w:pStyle w:val="7"/>
              <w:spacing w:before="6" w:line="249" w:lineRule="auto"/>
              <w:ind w:left="106" w:right="97" w:firstLine="480"/>
              <w:jc w:val="both"/>
              <w:rPr>
                <w:sz w:val="24"/>
              </w:rPr>
            </w:pPr>
            <w:r>
              <w:rPr>
                <w:sz w:val="24"/>
              </w:rPr>
              <w:t>第二十八条 文化行政部门应当建立互联网上网服务营业场所经营单位的经营活动信用监管制度，建立健全信用约束机制，并及时公布行政处罚信息。</w:t>
            </w:r>
          </w:p>
          <w:p>
            <w:pPr>
              <w:pStyle w:val="7"/>
              <w:spacing w:line="249" w:lineRule="auto"/>
              <w:ind w:left="106" w:right="95" w:firstLine="480"/>
              <w:jc w:val="both"/>
              <w:rPr>
                <w:sz w:val="24"/>
              </w:rPr>
            </w:pPr>
            <w:r>
              <w:rPr>
                <w:spacing w:val="-5"/>
                <w:sz w:val="24"/>
              </w:rPr>
              <w:t>第三十五条 互联网上网服务营业场所经营单位违反本条例的规定，被吊销《网络文化</w:t>
            </w:r>
            <w:r>
              <w:rPr>
                <w:spacing w:val="-2"/>
                <w:sz w:val="24"/>
              </w:rPr>
              <w:t xml:space="preserve">经营许可证》的，自被吊销《网络文化经营许可证》之日起 </w:t>
            </w:r>
            <w:r>
              <w:rPr>
                <w:sz w:val="24"/>
              </w:rPr>
              <w:t>5</w:t>
            </w:r>
            <w:r>
              <w:rPr>
                <w:spacing w:val="-9"/>
                <w:sz w:val="24"/>
              </w:rPr>
              <w:t xml:space="preserve"> 年内，其法定代表人或者主</w:t>
            </w:r>
            <w:r>
              <w:rPr>
                <w:sz w:val="24"/>
              </w:rPr>
              <w:t>要负责人不得担任互联网上网服务营业场所经营单位的法定代表人或者主要负责人。</w:t>
            </w:r>
          </w:p>
          <w:p>
            <w:pPr>
              <w:pStyle w:val="7"/>
              <w:spacing w:line="249" w:lineRule="auto"/>
              <w:ind w:left="106" w:right="-29" w:firstLine="480"/>
              <w:jc w:val="both"/>
              <w:rPr>
                <w:sz w:val="24"/>
              </w:rPr>
            </w:pPr>
            <w:r>
              <w:rPr>
                <w:spacing w:val="-6"/>
                <w:sz w:val="24"/>
              </w:rPr>
              <w:t xml:space="preserve">擅自设立的互联网上网服务营业场所经营单位被依法取缔的，自被取缔之日起 </w:t>
            </w:r>
            <w:r>
              <w:rPr>
                <w:sz w:val="24"/>
              </w:rPr>
              <w:t>5</w:t>
            </w:r>
            <w:r>
              <w:rPr>
                <w:spacing w:val="-19"/>
                <w:sz w:val="24"/>
              </w:rPr>
              <w:t xml:space="preserve"> 年内， </w:t>
            </w:r>
            <w:r>
              <w:rPr>
                <w:sz w:val="24"/>
              </w:rPr>
              <w:t>其主要负责人不得担任互联网上网服务营业场所经营单位的法定代表人或者主要负责人。</w:t>
            </w:r>
          </w:p>
          <w:p>
            <w:pPr>
              <w:pStyle w:val="7"/>
              <w:numPr>
                <w:ilvl w:val="0"/>
                <w:numId w:val="7"/>
              </w:numPr>
              <w:tabs>
                <w:tab w:val="left" w:pos="831"/>
              </w:tabs>
              <w:spacing w:before="0" w:after="0" w:line="306" w:lineRule="exact"/>
              <w:ind w:left="830" w:right="0" w:hanging="245"/>
              <w:jc w:val="both"/>
              <w:rPr>
                <w:b/>
                <w:sz w:val="24"/>
              </w:rPr>
            </w:pPr>
            <w:r>
              <w:rPr>
                <w:b/>
                <w:sz w:val="24"/>
              </w:rPr>
              <w:t>《营业性演出管理条例》（</w:t>
            </w:r>
            <w:r>
              <w:rPr>
                <w:b/>
                <w:spacing w:val="-11"/>
                <w:sz w:val="24"/>
              </w:rPr>
              <w:t xml:space="preserve">国务院令第 </w:t>
            </w:r>
            <w:r>
              <w:rPr>
                <w:b/>
                <w:sz w:val="24"/>
              </w:rPr>
              <w:t>528</w:t>
            </w:r>
            <w:r>
              <w:rPr>
                <w:b/>
                <w:spacing w:val="-30"/>
                <w:sz w:val="24"/>
              </w:rPr>
              <w:t xml:space="preserve"> 号</w:t>
            </w:r>
            <w:r>
              <w:rPr>
                <w:b/>
                <w:sz w:val="24"/>
              </w:rPr>
              <w:t>）</w:t>
            </w:r>
          </w:p>
          <w:p>
            <w:pPr>
              <w:pStyle w:val="7"/>
              <w:tabs>
                <w:tab w:val="left" w:pos="2031"/>
              </w:tabs>
              <w:spacing w:before="9" w:line="249" w:lineRule="auto"/>
              <w:ind w:left="106" w:right="95" w:firstLine="480"/>
              <w:rPr>
                <w:sz w:val="24"/>
              </w:rPr>
            </w:pPr>
            <w:r>
              <w:rPr>
                <w:sz w:val="24"/>
              </w:rPr>
              <w:t>第三十五条</w:t>
            </w:r>
            <w:r>
              <w:rPr>
                <w:sz w:val="24"/>
              </w:rPr>
              <w:tab/>
            </w:r>
            <w:r>
              <w:rPr>
                <w:sz w:val="24"/>
              </w:rPr>
              <w:t>文化主管部门应当建立营业性演出经营主体的经营活动信用监管制度</w:t>
            </w:r>
            <w:r>
              <w:rPr>
                <w:spacing w:val="-14"/>
                <w:sz w:val="24"/>
              </w:rPr>
              <w:t xml:space="preserve">， </w:t>
            </w:r>
            <w:r>
              <w:rPr>
                <w:sz w:val="24"/>
              </w:rPr>
              <w:t>建立健全信用约束机制，并及时公布行政处罚信息。</w:t>
            </w:r>
          </w:p>
          <w:p>
            <w:pPr>
              <w:pStyle w:val="7"/>
              <w:tabs>
                <w:tab w:val="left" w:pos="2031"/>
              </w:tabs>
              <w:spacing w:line="306" w:lineRule="exact"/>
              <w:ind w:left="106" w:firstLine="480"/>
              <w:rPr>
                <w:sz w:val="24"/>
              </w:rPr>
            </w:pPr>
            <w:r>
              <w:rPr>
                <w:sz w:val="24"/>
              </w:rPr>
              <w:t>第五十三条</w:t>
            </w:r>
            <w:r>
              <w:rPr>
                <w:sz w:val="24"/>
              </w:rPr>
              <w:tab/>
            </w:r>
            <w:r>
              <w:rPr>
                <w:sz w:val="24"/>
              </w:rPr>
              <w:t>因违反本条例规定被文化主管部门吊销营业性演出许可证，或者被工商</w:t>
            </w:r>
          </w:p>
          <w:p>
            <w:pPr>
              <w:pStyle w:val="7"/>
              <w:spacing w:before="9" w:line="310" w:lineRule="atLeast"/>
              <w:ind w:left="106" w:right="95"/>
              <w:rPr>
                <w:sz w:val="24"/>
              </w:rPr>
            </w:pPr>
            <w:r>
              <w:rPr>
                <w:spacing w:val="-1"/>
                <w:sz w:val="24"/>
              </w:rPr>
              <w:t>行政管理部门吊销营业执照或者责令变更登记的，自受到行政处罚之日起，当事人为单位</w:t>
            </w:r>
            <w:r>
              <w:rPr>
                <w:spacing w:val="-4"/>
                <w:sz w:val="24"/>
              </w:rPr>
              <w:t xml:space="preserve">的，其法定代表人、主要负责人 </w:t>
            </w:r>
            <w:r>
              <w:rPr>
                <w:sz w:val="24"/>
              </w:rPr>
              <w:t>5</w:t>
            </w:r>
            <w:r>
              <w:rPr>
                <w:spacing w:val="-9"/>
                <w:sz w:val="24"/>
              </w:rPr>
              <w:t xml:space="preserve"> 年内不得担任文艺表演团体、演出经纪机构或者演出场</w:t>
            </w:r>
          </w:p>
        </w:tc>
        <w:tc>
          <w:tcPr>
            <w:tcW w:w="1848" w:type="dxa"/>
          </w:tcPr>
          <w:p>
            <w:pPr>
              <w:pStyle w:val="7"/>
              <w:rPr>
                <w:rFonts w:ascii="Times New Roman"/>
                <w:sz w:val="24"/>
              </w:rPr>
            </w:pPr>
          </w:p>
        </w:tc>
      </w:tr>
    </w:tbl>
    <w:p>
      <w:pPr>
        <w:spacing w:after="0"/>
        <w:rPr>
          <w:rFonts w:ascii="Times New Roman"/>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8" w:hRule="atLeast"/>
        </w:trPr>
        <w:tc>
          <w:tcPr>
            <w:tcW w:w="2674" w:type="dxa"/>
          </w:tcPr>
          <w:p>
            <w:pPr>
              <w:pStyle w:val="7"/>
              <w:rPr>
                <w:rFonts w:ascii="Times New Roman"/>
                <w:sz w:val="24"/>
              </w:rPr>
            </w:pPr>
          </w:p>
        </w:tc>
        <w:tc>
          <w:tcPr>
            <w:tcW w:w="9598" w:type="dxa"/>
          </w:tcPr>
          <w:p>
            <w:pPr>
              <w:pStyle w:val="7"/>
              <w:spacing w:before="5"/>
              <w:ind w:left="106"/>
              <w:jc w:val="both"/>
              <w:rPr>
                <w:sz w:val="24"/>
              </w:rPr>
            </w:pPr>
            <w:r>
              <w:rPr>
                <w:sz w:val="24"/>
              </w:rPr>
              <w:t>所经营单位的法定代表人、主要负责人；当事人为个人的，个体演员 1 年内不得从事营业</w:t>
            </w:r>
          </w:p>
          <w:p>
            <w:pPr>
              <w:pStyle w:val="7"/>
              <w:spacing w:before="11"/>
              <w:ind w:left="106"/>
              <w:jc w:val="both"/>
              <w:rPr>
                <w:sz w:val="24"/>
              </w:rPr>
            </w:pPr>
            <w:r>
              <w:rPr>
                <w:sz w:val="24"/>
              </w:rPr>
              <w:t>性演出，个体演出经纪人 5 年内不得从事营业性演出的居间、代理活动。</w:t>
            </w:r>
          </w:p>
          <w:p>
            <w:pPr>
              <w:pStyle w:val="7"/>
              <w:spacing w:before="12" w:line="249" w:lineRule="auto"/>
              <w:ind w:left="106" w:right="97" w:firstLine="480"/>
              <w:jc w:val="both"/>
              <w:rPr>
                <w:sz w:val="24"/>
              </w:rPr>
            </w:pPr>
            <w:r>
              <w:rPr>
                <w:sz w:val="24"/>
              </w:rPr>
              <w:t>因营业性演出有本条例第二十五条禁止情形被文化主管部门吊销营业性演出许可证， 或者被工商行政管理部门吊销营业执照或者责令变更登记的，不得再次从事营业性演出或者营业性演出的居间、代理、行纪活动。</w:t>
            </w:r>
          </w:p>
          <w:p>
            <w:pPr>
              <w:pStyle w:val="7"/>
              <w:numPr>
                <w:ilvl w:val="0"/>
                <w:numId w:val="8"/>
              </w:numPr>
              <w:tabs>
                <w:tab w:val="left" w:pos="831"/>
              </w:tabs>
              <w:spacing w:before="0" w:after="0" w:line="249" w:lineRule="auto"/>
              <w:ind w:left="106" w:right="59" w:firstLine="480"/>
              <w:jc w:val="left"/>
              <w:rPr>
                <w:b/>
                <w:sz w:val="24"/>
              </w:rPr>
            </w:pPr>
            <w:r>
              <w:rPr>
                <w:b/>
                <w:spacing w:val="-1"/>
                <w:sz w:val="24"/>
              </w:rPr>
              <w:t>《国务院关于促进市场公平竞争维护市场正常秩序的若干意见》</w:t>
            </w:r>
            <w:r>
              <w:rPr>
                <w:b/>
                <w:sz w:val="24"/>
              </w:rPr>
              <w:t>（国发〔2014</w:t>
            </w:r>
            <w:r>
              <w:rPr>
                <w:b/>
                <w:spacing w:val="-3"/>
                <w:sz w:val="24"/>
              </w:rPr>
              <w:t>〕</w:t>
            </w:r>
            <w:r>
              <w:rPr>
                <w:b/>
                <w:sz w:val="24"/>
              </w:rPr>
              <w:t>20 号）</w:t>
            </w:r>
          </w:p>
          <w:p>
            <w:pPr>
              <w:pStyle w:val="7"/>
              <w:spacing w:line="249" w:lineRule="auto"/>
              <w:ind w:left="106" w:right="95" w:firstLine="360"/>
              <w:jc w:val="both"/>
              <w:rPr>
                <w:sz w:val="24"/>
              </w:rPr>
            </w:pPr>
            <w:r>
              <w:rPr>
                <w:sz w:val="24"/>
              </w:rPr>
              <w:t>（十五</w:t>
            </w:r>
            <w:r>
              <w:rPr>
                <w:spacing w:val="-32"/>
                <w:sz w:val="24"/>
              </w:rPr>
              <w:t>）</w:t>
            </w:r>
            <w:r>
              <w:rPr>
                <w:spacing w:val="-5"/>
                <w:sz w:val="24"/>
              </w:rPr>
              <w:t>建立健全守信激励和失信惩戒机制。对守信主体予以支持和激励，对失信主</w:t>
            </w:r>
            <w:r>
              <w:rPr>
                <w:spacing w:val="-1"/>
                <w:sz w:val="24"/>
              </w:rPr>
              <w:t>体在经营、投融资、取得政府供应土地、进出口、出入境、注册新公司、工程招投标、政府采购、获得荣誉、安全许可、生产许可、从业任职资格、资质审核等方面依法予以限制</w:t>
            </w:r>
            <w:r>
              <w:rPr>
                <w:sz w:val="24"/>
              </w:rPr>
              <w:t>或禁止，对严重违法失信主体实行市场禁入制度。</w:t>
            </w:r>
          </w:p>
          <w:p>
            <w:pPr>
              <w:pStyle w:val="7"/>
              <w:numPr>
                <w:ilvl w:val="0"/>
                <w:numId w:val="8"/>
              </w:numPr>
              <w:tabs>
                <w:tab w:val="left" w:pos="831"/>
              </w:tabs>
              <w:spacing w:before="0" w:after="0" w:line="305" w:lineRule="exact"/>
              <w:ind w:left="830" w:right="0" w:hanging="245"/>
              <w:jc w:val="left"/>
              <w:rPr>
                <w:b/>
                <w:sz w:val="24"/>
              </w:rPr>
            </w:pPr>
            <w:r>
              <w:rPr>
                <w:b/>
                <w:spacing w:val="-3"/>
                <w:sz w:val="24"/>
              </w:rPr>
              <w:t>《国务院关于运用大数据加强对市场主体服务和监管的若干意见》</w:t>
            </w:r>
            <w:r>
              <w:rPr>
                <w:b/>
                <w:sz w:val="24"/>
              </w:rPr>
              <w:t>（</w:t>
            </w:r>
            <w:r>
              <w:rPr>
                <w:b/>
                <w:spacing w:val="-9"/>
                <w:sz w:val="24"/>
              </w:rPr>
              <w:t>国办发〔</w:t>
            </w:r>
            <w:r>
              <w:rPr>
                <w:b/>
                <w:sz w:val="24"/>
              </w:rPr>
              <w:t>2015</w:t>
            </w:r>
          </w:p>
          <w:p>
            <w:pPr>
              <w:pStyle w:val="7"/>
              <w:spacing w:before="6"/>
              <w:ind w:left="106"/>
              <w:rPr>
                <w:b/>
                <w:sz w:val="24"/>
              </w:rPr>
            </w:pPr>
            <w:r>
              <w:rPr>
                <w:b/>
                <w:sz w:val="24"/>
              </w:rPr>
              <w:t>51 号）</w:t>
            </w:r>
          </w:p>
          <w:p>
            <w:pPr>
              <w:pStyle w:val="7"/>
              <w:spacing w:line="320" w:lineRule="atLeast"/>
              <w:ind w:left="106" w:right="-29" w:firstLine="480"/>
              <w:rPr>
                <w:sz w:val="24"/>
              </w:rPr>
            </w:pPr>
            <w:r>
              <w:rPr>
                <w:sz w:val="24"/>
              </w:rPr>
              <w:t>（十三）建立健全失信联合惩戒机制。各级人民政府应将使用信用信息和信用报告嵌</w:t>
            </w:r>
            <w:r>
              <w:rPr>
                <w:spacing w:val="-7"/>
                <w:sz w:val="24"/>
              </w:rPr>
              <w:t>入行政管理和公共服务的各领域、各环节，作为必要条件或重要参考依据。充分发挥行政、</w:t>
            </w:r>
            <w:r>
              <w:rPr>
                <w:sz w:val="24"/>
              </w:rPr>
              <w:t>司法、金融、社会等领域的综合监管效能，在市场准入、行政审批、资质认定、享受财政</w:t>
            </w:r>
            <w:r>
              <w:rPr>
                <w:spacing w:val="-8"/>
                <w:sz w:val="24"/>
              </w:rPr>
              <w:t>补贴和税收优惠政策、企业法定代表人和负责人任职资格审查、政府采购、政府购买服务、</w:t>
            </w:r>
            <w:r>
              <w:rPr>
                <w:sz w:val="24"/>
              </w:rPr>
              <w:t>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ind w:left="-192"/>
              <w:rPr>
                <w:b/>
                <w:sz w:val="24"/>
              </w:rPr>
            </w:pPr>
            <w:r>
              <w:rPr>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674" w:type="dxa"/>
          </w:tcPr>
          <w:p>
            <w:pPr>
              <w:pStyle w:val="7"/>
              <w:spacing w:before="4" w:line="249" w:lineRule="auto"/>
              <w:ind w:left="107" w:right="94" w:firstLine="480"/>
              <w:rPr>
                <w:sz w:val="24"/>
              </w:rPr>
            </w:pPr>
            <w:r>
              <w:rPr>
                <w:spacing w:val="4"/>
                <w:sz w:val="24"/>
              </w:rPr>
              <w:t>3</w:t>
            </w:r>
            <w:r>
              <w:rPr>
                <w:spacing w:val="3"/>
                <w:sz w:val="24"/>
              </w:rPr>
              <w:t>.将失信信息作为</w:t>
            </w:r>
            <w:r>
              <w:rPr>
                <w:spacing w:val="2"/>
                <w:sz w:val="24"/>
              </w:rPr>
              <w:t>投资入股商业银行以及</w:t>
            </w:r>
          </w:p>
          <w:p>
            <w:pPr>
              <w:pStyle w:val="7"/>
              <w:spacing w:line="289" w:lineRule="exact"/>
              <w:ind w:left="107"/>
              <w:rPr>
                <w:sz w:val="24"/>
              </w:rPr>
            </w:pPr>
            <w:r>
              <w:rPr>
                <w:spacing w:val="3"/>
                <w:sz w:val="24"/>
              </w:rPr>
              <w:t>银行授信决策和信贷管</w:t>
            </w:r>
          </w:p>
        </w:tc>
        <w:tc>
          <w:tcPr>
            <w:tcW w:w="9598" w:type="dxa"/>
          </w:tcPr>
          <w:p>
            <w:pPr>
              <w:pStyle w:val="7"/>
              <w:spacing w:before="4"/>
              <w:ind w:left="586"/>
              <w:rPr>
                <w:b/>
                <w:sz w:val="24"/>
              </w:rPr>
            </w:pPr>
            <w:r>
              <w:rPr>
                <w:b/>
                <w:sz w:val="24"/>
              </w:rPr>
              <w:t>1.《中华人民共和国商业银行法》</w:t>
            </w:r>
          </w:p>
          <w:p>
            <w:pPr>
              <w:pStyle w:val="7"/>
              <w:tabs>
                <w:tab w:val="left" w:pos="2031"/>
              </w:tabs>
              <w:spacing w:line="320" w:lineRule="atLeast"/>
              <w:ind w:left="106" w:right="97" w:firstLine="480"/>
              <w:rPr>
                <w:sz w:val="24"/>
              </w:rPr>
            </w:pPr>
            <w:r>
              <w:rPr>
                <w:sz w:val="24"/>
              </w:rPr>
              <w:t>第三十五条</w:t>
            </w:r>
            <w:r>
              <w:rPr>
                <w:sz w:val="24"/>
              </w:rPr>
              <w:tab/>
            </w:r>
            <w:r>
              <w:rPr>
                <w:sz w:val="24"/>
              </w:rPr>
              <w:t>商业银行贷款，应当对借款人的借款用途、偿还能力、还款方式等情</w:t>
            </w:r>
            <w:r>
              <w:rPr>
                <w:spacing w:val="-14"/>
                <w:sz w:val="24"/>
              </w:rPr>
              <w:t>况</w:t>
            </w:r>
            <w:r>
              <w:rPr>
                <w:sz w:val="24"/>
              </w:rPr>
              <w:t>进行严格审查。</w:t>
            </w:r>
          </w:p>
        </w:tc>
        <w:tc>
          <w:tcPr>
            <w:tcW w:w="1848" w:type="dxa"/>
          </w:tcPr>
          <w:p>
            <w:pPr>
              <w:pStyle w:val="7"/>
              <w:spacing w:before="163" w:line="249" w:lineRule="auto"/>
              <w:ind w:left="108" w:right="527"/>
              <w:rPr>
                <w:sz w:val="24"/>
              </w:rPr>
            </w:pPr>
            <w:r>
              <w:rPr>
                <w:sz w:val="24"/>
              </w:rPr>
              <w:t>人民银行、银保监会</w:t>
            </w:r>
          </w:p>
        </w:tc>
      </w:tr>
    </w:tbl>
    <w:p>
      <w:pPr>
        <w:spacing w:after="0" w:line="249" w:lineRule="auto"/>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2674" w:type="dxa"/>
          </w:tcPr>
          <w:p>
            <w:pPr>
              <w:pStyle w:val="7"/>
              <w:spacing w:before="5"/>
              <w:ind w:left="107"/>
              <w:rPr>
                <w:sz w:val="24"/>
              </w:rPr>
            </w:pPr>
            <w:r>
              <w:rPr>
                <w:sz w:val="24"/>
              </w:rPr>
              <w:t>理的重要参考。</w:t>
            </w:r>
          </w:p>
        </w:tc>
        <w:tc>
          <w:tcPr>
            <w:tcW w:w="9598" w:type="dxa"/>
          </w:tcPr>
          <w:p>
            <w:pPr>
              <w:pStyle w:val="7"/>
              <w:spacing w:before="5"/>
              <w:ind w:left="586"/>
              <w:rPr>
                <w:sz w:val="24"/>
              </w:rPr>
            </w:pPr>
            <w:r>
              <w:rPr>
                <w:sz w:val="24"/>
              </w:rPr>
              <w:t>商业银行贷款，应当实行审贷分离、分级审批的制度。</w:t>
            </w:r>
          </w:p>
          <w:p>
            <w:pPr>
              <w:pStyle w:val="7"/>
              <w:spacing w:before="11" w:line="249" w:lineRule="auto"/>
              <w:ind w:left="106" w:right="61" w:firstLine="480"/>
              <w:rPr>
                <w:b/>
                <w:sz w:val="24"/>
              </w:rPr>
            </w:pPr>
            <w:r>
              <w:rPr>
                <w:b/>
                <w:sz w:val="24"/>
              </w:rPr>
              <w:t>2.《国务院关于建立完善守信联合激励和失信联合惩戒制度加快推进社会诚信建设的指导意见》（国发〔2016〕33 号）</w:t>
            </w:r>
          </w:p>
          <w:p>
            <w:pPr>
              <w:pStyle w:val="7"/>
              <w:spacing w:line="306" w:lineRule="exact"/>
              <w:ind w:left="586"/>
              <w:rPr>
                <w:sz w:val="24"/>
              </w:rPr>
            </w:pPr>
            <w:r>
              <w:rPr>
                <w:sz w:val="24"/>
              </w:rPr>
              <w:t>（十一）加强对失信行为的市场性约束和惩戒。</w:t>
            </w:r>
          </w:p>
          <w:p>
            <w:pPr>
              <w:pStyle w:val="7"/>
              <w:spacing w:line="320" w:lineRule="atLeast"/>
              <w:ind w:left="106" w:right="95" w:firstLine="600"/>
              <w:jc w:val="both"/>
              <w:rPr>
                <w:sz w:val="24"/>
              </w:rPr>
            </w:pPr>
            <w:r>
              <w:rPr>
                <w:spacing w:val="-8"/>
                <w:sz w:val="24"/>
              </w:rPr>
              <w:t>引导商业银行、证券期货经营机构、保险公司等金融机构按照风险定价原则，对严</w:t>
            </w:r>
            <w:r>
              <w:rPr>
                <w:spacing w:val="-1"/>
                <w:sz w:val="24"/>
              </w:rPr>
              <w:t>重失信主体提高贷款利率和财产保险费率，或者限制向其提供贷款、保荐、承销、保险等</w:t>
            </w:r>
            <w:r>
              <w:rPr>
                <w:sz w:val="24"/>
              </w:rPr>
              <w:t>服务。</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0"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47" w:line="249" w:lineRule="auto"/>
              <w:ind w:left="107" w:right="94" w:firstLine="480"/>
              <w:jc w:val="both"/>
              <w:rPr>
                <w:sz w:val="24"/>
              </w:rPr>
            </w:pPr>
            <w:r>
              <w:rPr>
                <w:sz w:val="24"/>
              </w:rPr>
              <w:t>4.将失信信息作为在股票、可转换债券发行审核及在全国中小企业股份转让系统挂牌公开转让审核的参考。</w:t>
            </w:r>
          </w:p>
        </w:tc>
        <w:tc>
          <w:tcPr>
            <w:tcW w:w="9598" w:type="dxa"/>
          </w:tcPr>
          <w:p>
            <w:pPr>
              <w:pStyle w:val="7"/>
              <w:spacing w:before="6"/>
              <w:ind w:left="589"/>
              <w:rPr>
                <w:b/>
                <w:sz w:val="24"/>
              </w:rPr>
            </w:pPr>
            <w:r>
              <w:rPr>
                <w:b/>
                <w:sz w:val="24"/>
              </w:rPr>
              <w:t>1.《中华人民共和国证券法》</w:t>
            </w:r>
          </w:p>
          <w:p>
            <w:pPr>
              <w:pStyle w:val="7"/>
              <w:spacing w:before="11"/>
              <w:ind w:left="586"/>
              <w:rPr>
                <w:sz w:val="24"/>
              </w:rPr>
            </w:pPr>
            <w:r>
              <w:rPr>
                <w:sz w:val="24"/>
              </w:rPr>
              <w:t>第十三条 公司公开发行新股，应当符合下列条件:</w:t>
            </w:r>
          </w:p>
          <w:p>
            <w:pPr>
              <w:pStyle w:val="7"/>
              <w:spacing w:before="12" w:line="249" w:lineRule="auto"/>
              <w:ind w:left="526" w:right="1962" w:firstLine="136"/>
              <w:rPr>
                <w:sz w:val="24"/>
              </w:rPr>
            </w:pPr>
            <w:r>
              <w:rPr>
                <w:sz w:val="24"/>
              </w:rPr>
              <w:t>（三）</w:t>
            </w:r>
            <w:r>
              <w:rPr>
                <w:spacing w:val="-1"/>
                <w:sz w:val="24"/>
              </w:rPr>
              <w:t xml:space="preserve">最近三年财务会计文件无虚假记载，无其他重大违法行为； </w:t>
            </w:r>
            <w:r>
              <w:rPr>
                <w:b/>
                <w:sz w:val="24"/>
              </w:rPr>
              <w:t>2.《首次公开发行股票并上市管理办法》（</w:t>
            </w:r>
            <w:r>
              <w:rPr>
                <w:b/>
                <w:spacing w:val="-1"/>
                <w:sz w:val="24"/>
              </w:rPr>
              <w:t xml:space="preserve">证监会令第 </w:t>
            </w:r>
            <w:r>
              <w:rPr>
                <w:b/>
                <w:sz w:val="24"/>
              </w:rPr>
              <w:t>141</w:t>
            </w:r>
            <w:r>
              <w:rPr>
                <w:b/>
                <w:spacing w:val="-3"/>
                <w:sz w:val="24"/>
              </w:rPr>
              <w:t xml:space="preserve"> 号</w:t>
            </w:r>
            <w:r>
              <w:rPr>
                <w:b/>
                <w:sz w:val="24"/>
              </w:rPr>
              <w:t>）</w:t>
            </w:r>
            <w:r>
              <w:rPr>
                <w:b/>
                <w:color w:val="333333"/>
                <w:sz w:val="24"/>
              </w:rPr>
              <w:t xml:space="preserve"> </w:t>
            </w:r>
            <w:r>
              <w:rPr>
                <w:color w:val="333333"/>
                <w:sz w:val="24"/>
              </w:rPr>
              <w:t>第十八条 发行人不得有下列情形：</w:t>
            </w:r>
          </w:p>
          <w:p>
            <w:pPr>
              <w:pStyle w:val="7"/>
              <w:spacing w:line="247" w:lineRule="auto"/>
              <w:ind w:left="106" w:right="97" w:firstLine="420"/>
              <w:rPr>
                <w:sz w:val="24"/>
              </w:rPr>
            </w:pPr>
            <w:r>
              <w:rPr>
                <w:color w:val="333333"/>
                <w:sz w:val="24"/>
              </w:rPr>
              <w:t>（一）最近36个月内未经法定机关核准，擅自公开或者变相公开发行过证券；或者有关违法行为虽然发生在36个月前，但目前仍处于持续状态。</w:t>
            </w:r>
          </w:p>
          <w:p>
            <w:pPr>
              <w:pStyle w:val="7"/>
              <w:spacing w:before="1" w:line="249" w:lineRule="auto"/>
              <w:ind w:left="106" w:right="97" w:firstLine="420"/>
              <w:rPr>
                <w:sz w:val="24"/>
              </w:rPr>
            </w:pPr>
            <w:r>
              <w:rPr>
                <w:color w:val="333333"/>
                <w:sz w:val="24"/>
              </w:rPr>
              <w:t>（二）最近36个月内违反工商、税收、土地、环保、海关以及其他法律、行政法规， 受到行政处罚，且情节严重。</w:t>
            </w:r>
          </w:p>
          <w:p>
            <w:pPr>
              <w:pStyle w:val="7"/>
              <w:spacing w:line="249" w:lineRule="auto"/>
              <w:ind w:left="106" w:right="97" w:firstLine="420"/>
              <w:jc w:val="both"/>
              <w:rPr>
                <w:sz w:val="24"/>
              </w:rPr>
            </w:pPr>
            <w:r>
              <w:rPr>
                <w:color w:val="333333"/>
                <w:sz w:val="24"/>
              </w:rPr>
              <w:t>（三）最近36个月内曾向中国证监会提出发行申请，但报送的发行申请文件有虚假记载、误导性陈述或重大遗漏；或者不符合发行条件以欺骗手段骗取发行核准；或者以不正当手段干扰中国证监会及其发行审核委员会审核工作；或者伪造、变造发行人或其董事、监事、高级管理人员的签字、盖章。</w:t>
            </w:r>
          </w:p>
          <w:p>
            <w:pPr>
              <w:pStyle w:val="7"/>
              <w:spacing w:line="305" w:lineRule="exact"/>
              <w:ind w:left="526"/>
              <w:rPr>
                <w:sz w:val="24"/>
              </w:rPr>
            </w:pPr>
            <w:r>
              <w:rPr>
                <w:color w:val="333333"/>
                <w:sz w:val="24"/>
              </w:rPr>
              <w:t>（四）本次报送的发行申请文件有虚假记载、误导性陈述或者重大遗漏。</w:t>
            </w:r>
          </w:p>
          <w:p>
            <w:pPr>
              <w:pStyle w:val="7"/>
              <w:spacing w:before="10"/>
              <w:ind w:left="526"/>
              <w:rPr>
                <w:sz w:val="24"/>
              </w:rPr>
            </w:pPr>
            <w:r>
              <w:rPr>
                <w:color w:val="333333"/>
                <w:sz w:val="24"/>
              </w:rPr>
              <w:t>（五）涉嫌犯罪被司法机关立案侦查，尚未有明确结论意见。</w:t>
            </w:r>
          </w:p>
          <w:p>
            <w:pPr>
              <w:pStyle w:val="7"/>
              <w:spacing w:before="12"/>
              <w:ind w:left="526"/>
              <w:rPr>
                <w:sz w:val="24"/>
              </w:rPr>
            </w:pPr>
            <w:r>
              <w:rPr>
                <w:color w:val="333333"/>
                <w:sz w:val="24"/>
              </w:rPr>
              <w:t>（六）严重损害投资者合法权益和社会公共利益的其他情形。</w:t>
            </w:r>
          </w:p>
          <w:p>
            <w:pPr>
              <w:pStyle w:val="7"/>
              <w:spacing w:before="11" w:line="290" w:lineRule="exact"/>
              <w:ind w:left="589"/>
              <w:rPr>
                <w:b/>
                <w:sz w:val="24"/>
              </w:rPr>
            </w:pPr>
            <w:r>
              <w:rPr>
                <w:b/>
                <w:sz w:val="24"/>
              </w:rPr>
              <w:t>3.《首次公开发行股票并在创业板上市管理办法》（证监会令第 142 号）</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0"/>
              </w:rPr>
            </w:pPr>
          </w:p>
          <w:p>
            <w:pPr>
              <w:pStyle w:val="7"/>
              <w:ind w:left="108"/>
              <w:rPr>
                <w:sz w:val="24"/>
              </w:rPr>
            </w:pPr>
            <w:r>
              <w:rPr>
                <w:sz w:val="24"/>
              </w:rPr>
              <w:t>证监会</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0" w:hRule="atLeast"/>
        </w:trPr>
        <w:tc>
          <w:tcPr>
            <w:tcW w:w="2674" w:type="dxa"/>
          </w:tcPr>
          <w:p>
            <w:pPr>
              <w:pStyle w:val="7"/>
              <w:rPr>
                <w:rFonts w:ascii="Times New Roman"/>
                <w:sz w:val="24"/>
              </w:rPr>
            </w:pPr>
          </w:p>
        </w:tc>
        <w:tc>
          <w:tcPr>
            <w:tcW w:w="9598" w:type="dxa"/>
          </w:tcPr>
          <w:p>
            <w:pPr>
              <w:pStyle w:val="7"/>
              <w:spacing w:before="5" w:line="249" w:lineRule="auto"/>
              <w:ind w:left="106" w:right="97" w:firstLine="420"/>
              <w:rPr>
                <w:sz w:val="24"/>
              </w:rPr>
            </w:pPr>
            <w:r>
              <w:rPr>
                <w:sz w:val="24"/>
              </w:rPr>
              <w:t xml:space="preserve">第二十条 </w:t>
            </w:r>
            <w:r>
              <w:rPr>
                <w:color w:val="333333"/>
                <w:sz w:val="24"/>
              </w:rPr>
              <w:t>发行人及其控股股东、实际控制人最近3年内不存在损害投资者合法权益和社会公共利益的重大违法行为。</w:t>
            </w:r>
          </w:p>
          <w:p>
            <w:pPr>
              <w:pStyle w:val="7"/>
              <w:spacing w:line="249" w:lineRule="auto"/>
              <w:ind w:left="106" w:right="1" w:firstLine="420"/>
              <w:rPr>
                <w:sz w:val="24"/>
              </w:rPr>
            </w:pPr>
            <w:r>
              <w:rPr>
                <w:color w:val="333333"/>
                <w:sz w:val="24"/>
              </w:rPr>
              <w:t>发行人及其控股股东、实际控制人最近3年内不存在未经法定机关核准，擅自公开或者变相公开发行证券，或者有关违法行为虽然发生在3年前，但目前仍处于持续状态的情形。</w:t>
            </w:r>
          </w:p>
          <w:p>
            <w:pPr>
              <w:pStyle w:val="7"/>
              <w:numPr>
                <w:ilvl w:val="0"/>
                <w:numId w:val="9"/>
              </w:numPr>
              <w:tabs>
                <w:tab w:val="left" w:pos="833"/>
              </w:tabs>
              <w:spacing w:before="0" w:after="0" w:line="306" w:lineRule="exact"/>
              <w:ind w:left="832" w:right="0" w:hanging="244"/>
              <w:jc w:val="left"/>
              <w:rPr>
                <w:b/>
                <w:sz w:val="24"/>
              </w:rPr>
            </w:pPr>
            <w:r>
              <w:rPr>
                <w:b/>
                <w:sz w:val="24"/>
              </w:rPr>
              <w:t>《上市公司证券发行管理办法》（</w:t>
            </w:r>
            <w:r>
              <w:rPr>
                <w:b/>
                <w:spacing w:val="-10"/>
                <w:sz w:val="24"/>
              </w:rPr>
              <w:t xml:space="preserve">证监会令第 </w:t>
            </w:r>
            <w:r>
              <w:rPr>
                <w:b/>
                <w:sz w:val="24"/>
              </w:rPr>
              <w:t>30</w:t>
            </w:r>
            <w:r>
              <w:rPr>
                <w:b/>
                <w:spacing w:val="-31"/>
                <w:sz w:val="24"/>
              </w:rPr>
              <w:t xml:space="preserve"> 号</w:t>
            </w:r>
            <w:r>
              <w:rPr>
                <w:b/>
                <w:sz w:val="24"/>
              </w:rPr>
              <w:t>）</w:t>
            </w:r>
          </w:p>
          <w:p>
            <w:pPr>
              <w:pStyle w:val="7"/>
              <w:spacing w:before="10" w:line="249" w:lineRule="auto"/>
              <w:ind w:left="106" w:right="95" w:firstLine="480"/>
              <w:rPr>
                <w:sz w:val="24"/>
              </w:rPr>
            </w:pPr>
            <w:r>
              <w:rPr>
                <w:spacing w:val="-5"/>
                <w:sz w:val="24"/>
              </w:rPr>
              <w:t>第九条 上市公司最近三十六个月内财务会计文件无虚假记载，且不存在下列重大违法</w:t>
            </w:r>
            <w:r>
              <w:rPr>
                <w:sz w:val="24"/>
              </w:rPr>
              <w:t>行为：</w:t>
            </w:r>
          </w:p>
          <w:p>
            <w:pPr>
              <w:pStyle w:val="7"/>
              <w:spacing w:before="12" w:line="249" w:lineRule="auto"/>
              <w:ind w:left="106" w:right="95" w:firstLine="556"/>
              <w:rPr>
                <w:sz w:val="24"/>
              </w:rPr>
            </w:pPr>
            <w:r>
              <w:rPr>
                <w:sz w:val="24"/>
              </w:rPr>
              <w:t>（二</w:t>
            </w:r>
            <w:r>
              <w:rPr>
                <w:spacing w:val="-10"/>
                <w:sz w:val="24"/>
              </w:rPr>
              <w:t>）</w:t>
            </w:r>
            <w:r>
              <w:rPr>
                <w:spacing w:val="-8"/>
                <w:sz w:val="24"/>
              </w:rPr>
              <w:t>违反工商、税收、土地、环保、海关法律、行政法规或规章，受到行政处罚且</w:t>
            </w:r>
            <w:r>
              <w:rPr>
                <w:sz w:val="24"/>
              </w:rPr>
              <w:t>情节严重，或者受到刑事处罚；</w:t>
            </w:r>
          </w:p>
          <w:p>
            <w:pPr>
              <w:pStyle w:val="7"/>
              <w:numPr>
                <w:ilvl w:val="0"/>
                <w:numId w:val="9"/>
              </w:numPr>
              <w:tabs>
                <w:tab w:val="left" w:pos="831"/>
              </w:tabs>
              <w:spacing w:before="0" w:after="0" w:line="249" w:lineRule="auto"/>
              <w:ind w:left="586" w:right="1770" w:firstLine="0"/>
              <w:jc w:val="left"/>
              <w:rPr>
                <w:sz w:val="24"/>
              </w:rPr>
            </w:pPr>
            <w:r>
              <w:rPr>
                <w:b/>
                <w:sz w:val="24"/>
              </w:rPr>
              <w:t>《创业板上市公司证券发行管理暂行办法》（</w:t>
            </w:r>
            <w:r>
              <w:rPr>
                <w:b/>
                <w:spacing w:val="-11"/>
                <w:sz w:val="24"/>
              </w:rPr>
              <w:t xml:space="preserve">证监会令第 </w:t>
            </w:r>
            <w:r>
              <w:rPr>
                <w:b/>
                <w:sz w:val="24"/>
              </w:rPr>
              <w:t>100</w:t>
            </w:r>
            <w:r>
              <w:rPr>
                <w:b/>
                <w:spacing w:val="-32"/>
                <w:sz w:val="24"/>
              </w:rPr>
              <w:t xml:space="preserve"> 号</w:t>
            </w:r>
            <w:r>
              <w:rPr>
                <w:b/>
                <w:spacing w:val="-12"/>
                <w:sz w:val="24"/>
              </w:rPr>
              <w:t xml:space="preserve">） </w:t>
            </w:r>
            <w:r>
              <w:rPr>
                <w:sz w:val="24"/>
              </w:rPr>
              <w:t>第十条 上市公司存在下列情形之一的，不得发行证券：</w:t>
            </w:r>
          </w:p>
          <w:p>
            <w:pPr>
              <w:pStyle w:val="7"/>
              <w:spacing w:before="10" w:line="249" w:lineRule="auto"/>
              <w:ind w:left="106" w:right="95" w:firstLine="360"/>
              <w:jc w:val="both"/>
              <w:rPr>
                <w:sz w:val="24"/>
              </w:rPr>
            </w:pPr>
            <w:r>
              <w:rPr>
                <w:sz w:val="24"/>
              </w:rPr>
              <w:t>（三</w:t>
            </w:r>
            <w:r>
              <w:rPr>
                <w:spacing w:val="-24"/>
                <w:sz w:val="24"/>
              </w:rPr>
              <w:t>）</w:t>
            </w:r>
            <w:r>
              <w:rPr>
                <w:spacing w:val="-6"/>
                <w:sz w:val="24"/>
              </w:rPr>
              <w:t>最近三十六个月内因违反法律、行政法规、规章受到行政处罚且情节严重，或者</w:t>
            </w:r>
            <w:r>
              <w:rPr>
                <w:spacing w:val="-1"/>
                <w:sz w:val="24"/>
              </w:rPr>
              <w:t>受到刑事处罚，或者因违反证券法律、行政法规、规章受到中国证监会的行政处罚；最近十二个月内受到证券交易所的公开谴责；因涉嫌犯罪被司法机关立案侦查或者涉嫌违法违</w:t>
            </w:r>
            <w:r>
              <w:rPr>
                <w:sz w:val="24"/>
              </w:rPr>
              <w:t>规被中国证监会立案调查。</w:t>
            </w:r>
          </w:p>
          <w:p>
            <w:pPr>
              <w:pStyle w:val="7"/>
              <w:numPr>
                <w:ilvl w:val="0"/>
                <w:numId w:val="9"/>
              </w:numPr>
              <w:tabs>
                <w:tab w:val="left" w:pos="831"/>
              </w:tabs>
              <w:spacing w:before="0" w:after="0" w:line="305" w:lineRule="exact"/>
              <w:ind w:left="830" w:right="0" w:hanging="245"/>
              <w:jc w:val="both"/>
              <w:rPr>
                <w:b/>
                <w:sz w:val="24"/>
              </w:rPr>
            </w:pPr>
            <w:r>
              <w:rPr>
                <w:b/>
                <w:sz w:val="24"/>
              </w:rPr>
              <w:t>《非上市公众公司监督管理办法》（</w:t>
            </w:r>
            <w:r>
              <w:rPr>
                <w:b/>
                <w:spacing w:val="-10"/>
                <w:sz w:val="24"/>
              </w:rPr>
              <w:t xml:space="preserve">证监会令第 </w:t>
            </w:r>
            <w:r>
              <w:rPr>
                <w:b/>
                <w:sz w:val="24"/>
              </w:rPr>
              <w:t>96</w:t>
            </w:r>
            <w:r>
              <w:rPr>
                <w:b/>
                <w:spacing w:val="-31"/>
                <w:sz w:val="24"/>
              </w:rPr>
              <w:t xml:space="preserve"> 号</w:t>
            </w:r>
            <w:r>
              <w:rPr>
                <w:b/>
                <w:sz w:val="24"/>
              </w:rPr>
              <w:t>）</w:t>
            </w:r>
          </w:p>
          <w:p>
            <w:pPr>
              <w:pStyle w:val="7"/>
              <w:spacing w:line="320" w:lineRule="atLeast"/>
              <w:ind w:left="106" w:right="-29" w:firstLine="480"/>
              <w:jc w:val="both"/>
              <w:rPr>
                <w:sz w:val="24"/>
              </w:rPr>
            </w:pPr>
            <w:r>
              <w:rPr>
                <w:spacing w:val="-12"/>
                <w:sz w:val="24"/>
              </w:rPr>
              <w:t xml:space="preserve">第三条 公众公司应当按照法律、行政法规、本办法和公司章程的规定，做到股权明晰， </w:t>
            </w:r>
            <w:r>
              <w:rPr>
                <w:sz w:val="24"/>
              </w:rPr>
              <w:t>合法规范经营，公司治理机制健全，履行信息披露义务。</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2674" w:type="dxa"/>
          </w:tcPr>
          <w:p>
            <w:pPr>
              <w:pStyle w:val="7"/>
              <w:spacing w:before="6" w:line="249" w:lineRule="auto"/>
              <w:ind w:left="107" w:right="94" w:firstLine="480"/>
              <w:jc w:val="both"/>
              <w:rPr>
                <w:sz w:val="24"/>
              </w:rPr>
            </w:pPr>
            <w:r>
              <w:rPr>
                <w:spacing w:val="4"/>
                <w:sz w:val="24"/>
              </w:rPr>
              <w:t>5</w:t>
            </w:r>
            <w:r>
              <w:rPr>
                <w:spacing w:val="3"/>
                <w:sz w:val="24"/>
              </w:rPr>
              <w:t>.依法对申请发行</w:t>
            </w:r>
            <w:r>
              <w:rPr>
                <w:spacing w:val="2"/>
                <w:sz w:val="24"/>
              </w:rPr>
              <w:t>企业债券不予受理；依法将失信信息作为注册发行非金融企业债务融</w:t>
            </w:r>
          </w:p>
          <w:p>
            <w:pPr>
              <w:pStyle w:val="7"/>
              <w:spacing w:line="288" w:lineRule="exact"/>
              <w:ind w:left="107"/>
              <w:rPr>
                <w:sz w:val="24"/>
              </w:rPr>
            </w:pPr>
            <w:r>
              <w:rPr>
                <w:spacing w:val="3"/>
                <w:sz w:val="24"/>
              </w:rPr>
              <w:t>资工具的参考；依法将</w:t>
            </w:r>
          </w:p>
        </w:tc>
        <w:tc>
          <w:tcPr>
            <w:tcW w:w="9598" w:type="dxa"/>
          </w:tcPr>
          <w:p>
            <w:pPr>
              <w:pStyle w:val="7"/>
              <w:spacing w:before="6" w:line="249" w:lineRule="auto"/>
              <w:ind w:left="106" w:right="64" w:firstLine="480"/>
              <w:rPr>
                <w:b/>
                <w:sz w:val="24"/>
              </w:rPr>
            </w:pPr>
            <w:r>
              <w:rPr>
                <w:b/>
                <w:sz w:val="24"/>
              </w:rPr>
              <w:t>1.《国家发展改革委 人民银行 中央编办关于在行政管理事项中使用信用记录和信用报告的若干意见》（发改财金〔2013〕920 号）</w:t>
            </w:r>
          </w:p>
          <w:p>
            <w:pPr>
              <w:pStyle w:val="7"/>
              <w:spacing w:line="306" w:lineRule="exact"/>
              <w:ind w:left="586"/>
              <w:rPr>
                <w:sz w:val="24"/>
              </w:rPr>
            </w:pPr>
            <w:r>
              <w:rPr>
                <w:sz w:val="24"/>
              </w:rPr>
              <w:t>二、切实发挥在行政管理事项中使用信用记录和信用报告的作用</w:t>
            </w:r>
          </w:p>
          <w:p>
            <w:pPr>
              <w:pStyle w:val="7"/>
              <w:spacing w:line="320" w:lineRule="atLeast"/>
              <w:ind w:left="106" w:right="97" w:firstLine="480"/>
              <w:rPr>
                <w:sz w:val="24"/>
              </w:rPr>
            </w:pPr>
            <w:r>
              <w:rPr>
                <w:sz w:val="24"/>
              </w:rPr>
              <w:t>各级政府、各相关部门应将相关市场主体所提供的信用记录或信用报告作为其实施行政管理的重要参考。对守信者应探索实行优先办理、简化程序、“绿色通道”和重点支持</w:t>
            </w:r>
          </w:p>
        </w:tc>
        <w:tc>
          <w:tcPr>
            <w:tcW w:w="1848" w:type="dxa"/>
          </w:tcPr>
          <w:p>
            <w:pPr>
              <w:pStyle w:val="7"/>
              <w:spacing w:before="164" w:line="249" w:lineRule="auto"/>
              <w:ind w:left="108" w:right="287"/>
              <w:rPr>
                <w:sz w:val="24"/>
              </w:rPr>
            </w:pPr>
            <w:r>
              <w:rPr>
                <w:sz w:val="24"/>
              </w:rPr>
              <w:t>国家发展改革委、</w:t>
            </w:r>
          </w:p>
          <w:p>
            <w:pPr>
              <w:pStyle w:val="7"/>
              <w:spacing w:line="249" w:lineRule="auto"/>
              <w:ind w:left="108" w:right="767"/>
              <w:rPr>
                <w:sz w:val="24"/>
              </w:rPr>
            </w:pPr>
            <w:r>
              <w:rPr>
                <w:sz w:val="24"/>
              </w:rPr>
              <w:t>证监会、人民银行</w:t>
            </w:r>
          </w:p>
        </w:tc>
      </w:tr>
    </w:tbl>
    <w:p>
      <w:pPr>
        <w:spacing w:after="0" w:line="249" w:lineRule="auto"/>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3" w:hRule="atLeast"/>
        </w:trPr>
        <w:tc>
          <w:tcPr>
            <w:tcW w:w="2674" w:type="dxa"/>
          </w:tcPr>
          <w:p>
            <w:pPr>
              <w:pStyle w:val="7"/>
              <w:spacing w:before="5" w:line="249" w:lineRule="auto"/>
              <w:ind w:left="107" w:right="97"/>
              <w:jc w:val="both"/>
              <w:rPr>
                <w:sz w:val="24"/>
              </w:rPr>
            </w:pPr>
            <w:r>
              <w:rPr>
                <w:sz w:val="24"/>
              </w:rPr>
              <w:t>失信责任主体的违法失信记录作为公司债券核准或备案的参考。</w:t>
            </w:r>
          </w:p>
        </w:tc>
        <w:tc>
          <w:tcPr>
            <w:tcW w:w="9598" w:type="dxa"/>
          </w:tcPr>
          <w:p>
            <w:pPr>
              <w:pStyle w:val="7"/>
              <w:spacing w:before="5" w:line="249" w:lineRule="auto"/>
              <w:ind w:left="586" w:right="1559" w:hanging="480"/>
              <w:rPr>
                <w:sz w:val="24"/>
              </w:rPr>
            </w:pPr>
            <w:r>
              <w:rPr>
                <w:sz w:val="24"/>
              </w:rPr>
              <w:t>等激励政策；对失信者，应结合失信类别和程度，严格落实失信惩戒制度。三、探索完善在行政管理事项中使用信用记录和信用报告的制度规范</w:t>
            </w:r>
          </w:p>
          <w:p>
            <w:pPr>
              <w:pStyle w:val="7"/>
              <w:spacing w:line="249" w:lineRule="auto"/>
              <w:ind w:left="106" w:right="97" w:firstLine="480"/>
              <w:jc w:val="both"/>
              <w:rPr>
                <w:sz w:val="24"/>
              </w:rPr>
            </w:pPr>
            <w:r>
              <w:rPr>
                <w:sz w:val="24"/>
              </w:rPr>
              <w:t>各级政府、各相关部门应结合地方和部门实际，在政府采购、招标投标、行政审批、市场准入、资质审核等行政管理事项中依法要求相关市场主体提供由第三方信用服务机构出具的信用记录或信用报告。</w:t>
            </w:r>
          </w:p>
          <w:p>
            <w:pPr>
              <w:pStyle w:val="7"/>
              <w:spacing w:line="249" w:lineRule="auto"/>
              <w:ind w:left="106" w:right="97" w:firstLine="480"/>
              <w:rPr>
                <w:sz w:val="24"/>
              </w:rPr>
            </w:pPr>
            <w:r>
              <w:rPr>
                <w:sz w:val="24"/>
              </w:rPr>
              <w:t>各级政府、各相关部门应根据履职需要，研究明确信用记录或信用报告的主要内容和运用规范。</w:t>
            </w:r>
          </w:p>
          <w:p>
            <w:pPr>
              <w:pStyle w:val="7"/>
              <w:spacing w:line="306" w:lineRule="exact"/>
              <w:ind w:left="586"/>
              <w:rPr>
                <w:sz w:val="24"/>
              </w:rPr>
            </w:pPr>
            <w:r>
              <w:rPr>
                <w:sz w:val="24"/>
              </w:rPr>
              <w:t>五、不断健全全社会守信激励和失信惩戒的联动机制</w:t>
            </w:r>
          </w:p>
          <w:p>
            <w:pPr>
              <w:pStyle w:val="7"/>
              <w:numPr>
                <w:ilvl w:val="0"/>
                <w:numId w:val="10"/>
              </w:numPr>
              <w:tabs>
                <w:tab w:val="left" w:pos="821"/>
              </w:tabs>
              <w:spacing w:before="8" w:after="0" w:line="249" w:lineRule="auto"/>
              <w:ind w:left="106" w:right="59" w:firstLine="470"/>
              <w:jc w:val="left"/>
              <w:rPr>
                <w:b/>
                <w:sz w:val="24"/>
              </w:rPr>
            </w:pPr>
            <w:r>
              <w:rPr>
                <w:b/>
                <w:sz w:val="24"/>
              </w:rPr>
              <w:t>《国务院关于促进市场公平竞争维护市场正常秩序的若干意见》（国发〔2014〕20 号）</w:t>
            </w:r>
          </w:p>
          <w:p>
            <w:pPr>
              <w:pStyle w:val="7"/>
              <w:spacing w:line="249" w:lineRule="auto"/>
              <w:ind w:left="106" w:right="95" w:firstLine="480"/>
              <w:jc w:val="both"/>
              <w:rPr>
                <w:sz w:val="24"/>
              </w:rPr>
            </w:pPr>
            <w:r>
              <w:rPr>
                <w:sz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pStyle w:val="7"/>
              <w:numPr>
                <w:ilvl w:val="0"/>
                <w:numId w:val="10"/>
              </w:numPr>
              <w:tabs>
                <w:tab w:val="left" w:pos="821"/>
              </w:tabs>
              <w:spacing w:before="0" w:after="0" w:line="249" w:lineRule="auto"/>
              <w:ind w:left="106" w:right="61" w:firstLine="470"/>
              <w:jc w:val="both"/>
              <w:rPr>
                <w:b/>
                <w:sz w:val="24"/>
              </w:rPr>
            </w:pPr>
            <w:r>
              <w:rPr>
                <w:b/>
                <w:sz w:val="24"/>
              </w:rPr>
              <w:t>《国务院关于建立完善守信联合激励和失信联合惩戒制度加快推进社会诚信建设的指导意见》（国发〔2016〕33</w:t>
            </w:r>
            <w:r>
              <w:rPr>
                <w:b/>
                <w:spacing w:val="-31"/>
                <w:sz w:val="24"/>
              </w:rPr>
              <w:t xml:space="preserve"> 号</w:t>
            </w:r>
            <w:r>
              <w:rPr>
                <w:b/>
                <w:sz w:val="24"/>
              </w:rPr>
              <w:t>）</w:t>
            </w:r>
          </w:p>
          <w:p>
            <w:pPr>
              <w:pStyle w:val="7"/>
              <w:spacing w:line="249" w:lineRule="auto"/>
              <w:ind w:left="106" w:right="97" w:firstLine="480"/>
              <w:jc w:val="both"/>
              <w:rPr>
                <w:sz w:val="24"/>
              </w:rPr>
            </w:pPr>
            <w:r>
              <w:rPr>
                <w:sz w:val="24"/>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w:t>
            </w:r>
          </w:p>
          <w:p>
            <w:pPr>
              <w:pStyle w:val="7"/>
              <w:spacing w:line="287" w:lineRule="exact"/>
              <w:ind w:left="106"/>
              <w:rPr>
                <w:sz w:val="24"/>
              </w:rPr>
            </w:pPr>
            <w:r>
              <w:rPr>
                <w:sz w:val="24"/>
              </w:rPr>
              <w:t>网信息服务等。</w:t>
            </w:r>
          </w:p>
        </w:tc>
        <w:tc>
          <w:tcPr>
            <w:tcW w:w="1848" w:type="dxa"/>
          </w:tcPr>
          <w:p>
            <w:pPr>
              <w:pStyle w:val="7"/>
              <w:rPr>
                <w:rFonts w:ascii="Times New Roman"/>
                <w:sz w:val="24"/>
              </w:rPr>
            </w:pPr>
          </w:p>
        </w:tc>
      </w:tr>
    </w:tbl>
    <w:p>
      <w:pPr>
        <w:spacing w:after="0"/>
        <w:rPr>
          <w:rFonts w:ascii="Times New Roman"/>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7" w:hRule="atLeast"/>
        </w:trPr>
        <w:tc>
          <w:tcPr>
            <w:tcW w:w="2674" w:type="dxa"/>
          </w:tcPr>
          <w:p>
            <w:pPr>
              <w:pStyle w:val="7"/>
              <w:rPr>
                <w:rFonts w:ascii="Times New Roman"/>
                <w:sz w:val="24"/>
              </w:rPr>
            </w:pPr>
          </w:p>
        </w:tc>
        <w:tc>
          <w:tcPr>
            <w:tcW w:w="9598" w:type="dxa"/>
          </w:tcPr>
          <w:p>
            <w:pPr>
              <w:pStyle w:val="7"/>
              <w:numPr>
                <w:ilvl w:val="0"/>
                <w:numId w:val="11"/>
              </w:numPr>
              <w:tabs>
                <w:tab w:val="left" w:pos="821"/>
              </w:tabs>
              <w:spacing w:before="5" w:after="0" w:line="249" w:lineRule="auto"/>
              <w:ind w:left="106" w:right="61" w:firstLine="470"/>
              <w:jc w:val="left"/>
              <w:rPr>
                <w:b/>
                <w:sz w:val="24"/>
              </w:rPr>
            </w:pPr>
            <w:r>
              <w:rPr>
                <w:b/>
                <w:sz w:val="24"/>
              </w:rPr>
              <w:t>《国家发展改革委办公厅关于进一步改进企业债券发行审核工作的通知》（发改办财金〔2013〕957</w:t>
            </w:r>
            <w:r>
              <w:rPr>
                <w:b/>
                <w:spacing w:val="-30"/>
                <w:sz w:val="24"/>
              </w:rPr>
              <w:t xml:space="preserve"> 号</w:t>
            </w:r>
            <w:r>
              <w:rPr>
                <w:b/>
                <w:sz w:val="24"/>
              </w:rPr>
              <w:t>）</w:t>
            </w:r>
          </w:p>
          <w:p>
            <w:pPr>
              <w:pStyle w:val="7"/>
              <w:spacing w:line="306" w:lineRule="exact"/>
              <w:ind w:left="586"/>
              <w:rPr>
                <w:sz w:val="24"/>
              </w:rPr>
            </w:pPr>
            <w:r>
              <w:rPr>
                <w:sz w:val="24"/>
              </w:rPr>
              <w:t>对于以下两类发债申请，要从严审核，有效防范市场风险。</w:t>
            </w:r>
          </w:p>
          <w:p>
            <w:pPr>
              <w:pStyle w:val="7"/>
              <w:spacing w:before="11"/>
              <w:ind w:left="586" w:right="-29"/>
              <w:rPr>
                <w:sz w:val="24"/>
              </w:rPr>
            </w:pPr>
            <w:r>
              <w:rPr>
                <w:sz w:val="24"/>
              </w:rPr>
              <w:t>（一</w:t>
            </w:r>
            <w:r>
              <w:rPr>
                <w:spacing w:val="-32"/>
                <w:sz w:val="24"/>
              </w:rPr>
              <w:t>）</w:t>
            </w:r>
            <w:r>
              <w:rPr>
                <w:spacing w:val="-7"/>
                <w:sz w:val="24"/>
              </w:rPr>
              <w:t>募集资金用于产能过剩、高污染、高耗能等国家产业政策限制领域的发债申请。</w:t>
            </w:r>
          </w:p>
          <w:p>
            <w:pPr>
              <w:pStyle w:val="7"/>
              <w:spacing w:before="12" w:line="249" w:lineRule="auto"/>
              <w:ind w:left="106" w:right="97" w:firstLine="480"/>
              <w:rPr>
                <w:sz w:val="24"/>
              </w:rPr>
            </w:pPr>
            <w:r>
              <w:rPr>
                <w:sz w:val="24"/>
              </w:rPr>
              <w:t>（二）企业信用等级较低，负债率高，债券余额较大或运作不规范、资产不实、偿债措施较弱的发债申请。</w:t>
            </w:r>
          </w:p>
          <w:p>
            <w:pPr>
              <w:pStyle w:val="7"/>
              <w:numPr>
                <w:ilvl w:val="0"/>
                <w:numId w:val="11"/>
              </w:numPr>
              <w:tabs>
                <w:tab w:val="left" w:pos="831"/>
              </w:tabs>
              <w:spacing w:before="119" w:after="0" w:line="297" w:lineRule="auto"/>
              <w:ind w:left="106" w:right="47" w:firstLine="480"/>
              <w:jc w:val="left"/>
              <w:rPr>
                <w:b/>
                <w:sz w:val="24"/>
              </w:rPr>
            </w:pPr>
            <w:r>
              <w:rPr>
                <w:b/>
                <w:sz w:val="24"/>
              </w:rPr>
              <w:t>《银行间债券市场非金融企业债务融资工具管理办法》（中国人民银行令</w:t>
            </w:r>
            <w:r>
              <w:rPr>
                <w:rFonts w:hint="eastAsia" w:ascii="Arial Unicode MS" w:eastAsia="Arial Unicode MS"/>
                <w:b/>
                <w:sz w:val="24"/>
              </w:rPr>
              <w:t>〔</w:t>
            </w:r>
            <w:r>
              <w:rPr>
                <w:b/>
                <w:sz w:val="24"/>
              </w:rPr>
              <w:t>2008</w:t>
            </w:r>
            <w:r>
              <w:rPr>
                <w:rFonts w:hint="eastAsia" w:ascii="Arial Unicode MS" w:eastAsia="Arial Unicode MS"/>
                <w:b/>
                <w:sz w:val="24"/>
              </w:rPr>
              <w:t>〕</w:t>
            </w:r>
            <w:r>
              <w:rPr>
                <w:b/>
                <w:spacing w:val="-31"/>
                <w:sz w:val="24"/>
              </w:rPr>
              <w:t xml:space="preserve">第 </w:t>
            </w:r>
            <w:r>
              <w:rPr>
                <w:b/>
                <w:sz w:val="24"/>
              </w:rPr>
              <w:t>1</w:t>
            </w:r>
            <w:r>
              <w:rPr>
                <w:b/>
                <w:spacing w:val="-30"/>
                <w:sz w:val="24"/>
              </w:rPr>
              <w:t xml:space="preserve"> 号</w:t>
            </w:r>
            <w:r>
              <w:rPr>
                <w:b/>
                <w:sz w:val="24"/>
              </w:rPr>
              <w:t>）</w:t>
            </w:r>
          </w:p>
          <w:p>
            <w:pPr>
              <w:pStyle w:val="7"/>
              <w:spacing w:line="245" w:lineRule="exact"/>
              <w:ind w:left="577"/>
              <w:rPr>
                <w:sz w:val="24"/>
              </w:rPr>
            </w:pPr>
            <w:r>
              <w:rPr>
                <w:color w:val="333333"/>
                <w:sz w:val="24"/>
              </w:rPr>
              <w:t>第十三条 交易商协会依据本办法及中国人民银行相关规定对债务融资工具的发行与</w:t>
            </w:r>
          </w:p>
          <w:p>
            <w:pPr>
              <w:pStyle w:val="7"/>
              <w:spacing w:before="12" w:line="249" w:lineRule="auto"/>
              <w:ind w:left="106" w:right="97"/>
              <w:rPr>
                <w:sz w:val="24"/>
              </w:rPr>
            </w:pPr>
            <w:r>
              <w:rPr>
                <w:color w:val="333333"/>
                <w:sz w:val="24"/>
              </w:rPr>
              <w:t>交易实施自律管理。交易商协会应根据本办法制定相关自律管理规则，并报中国人民银行备案。</w:t>
            </w:r>
          </w:p>
          <w:p>
            <w:pPr>
              <w:pStyle w:val="7"/>
              <w:spacing w:line="249" w:lineRule="auto"/>
              <w:ind w:left="106" w:right="95" w:firstLine="480"/>
              <w:rPr>
                <w:sz w:val="24"/>
              </w:rPr>
            </w:pPr>
            <w:r>
              <w:rPr>
                <w:color w:val="333333"/>
                <w:spacing w:val="-5"/>
                <w:sz w:val="24"/>
              </w:rPr>
              <w:t>第十七条 交易商协会对违反自律管理规则的机构和人员，可采取警告、诫勉谈话、公</w:t>
            </w:r>
            <w:r>
              <w:rPr>
                <w:color w:val="333333"/>
                <w:sz w:val="24"/>
              </w:rPr>
              <w:t>开谴责等措施进行处理。</w:t>
            </w:r>
          </w:p>
          <w:p>
            <w:pPr>
              <w:pStyle w:val="7"/>
              <w:spacing w:line="249" w:lineRule="auto"/>
              <w:ind w:left="106" w:right="95" w:firstLine="480"/>
              <w:rPr>
                <w:sz w:val="24"/>
              </w:rPr>
            </w:pPr>
            <w:r>
              <w:rPr>
                <w:color w:val="333333"/>
                <w:spacing w:val="-6"/>
                <w:sz w:val="24"/>
              </w:rPr>
              <w:t>第十八条 中国人民银行依法对交易商协会、同业拆借中心和中央结算公司进行监督管</w:t>
            </w:r>
            <w:r>
              <w:rPr>
                <w:color w:val="333333"/>
                <w:sz w:val="24"/>
              </w:rPr>
              <w:t>理。</w:t>
            </w:r>
          </w:p>
          <w:p>
            <w:pPr>
              <w:pStyle w:val="7"/>
              <w:spacing w:line="249" w:lineRule="auto"/>
              <w:ind w:left="106" w:right="95" w:firstLine="482"/>
              <w:rPr>
                <w:sz w:val="24"/>
              </w:rPr>
            </w:pPr>
            <w:r>
              <w:rPr>
                <w:color w:val="333333"/>
                <w:sz w:val="24"/>
              </w:rPr>
              <w:t>交易商协会、同业拆借中心和中央结算公司应按照中国人民银行的要求，及时向中国人民银行报送与债务融资工具发行和交易等有关的信息。</w:t>
            </w:r>
          </w:p>
          <w:p>
            <w:pPr>
              <w:pStyle w:val="7"/>
              <w:numPr>
                <w:ilvl w:val="0"/>
                <w:numId w:val="11"/>
              </w:numPr>
              <w:tabs>
                <w:tab w:val="left" w:pos="821"/>
              </w:tabs>
              <w:spacing w:before="0" w:after="0" w:line="249" w:lineRule="auto"/>
              <w:ind w:left="586" w:right="2744" w:hanging="10"/>
              <w:jc w:val="left"/>
              <w:rPr>
                <w:sz w:val="24"/>
              </w:rPr>
            </w:pPr>
            <w:r>
              <w:rPr>
                <w:b/>
                <w:sz w:val="24"/>
              </w:rPr>
              <w:t>《公司债券发行与交易管理办法》（</w:t>
            </w:r>
            <w:r>
              <w:rPr>
                <w:b/>
                <w:spacing w:val="-11"/>
                <w:sz w:val="24"/>
              </w:rPr>
              <w:t xml:space="preserve">证监会令第 </w:t>
            </w:r>
            <w:r>
              <w:rPr>
                <w:b/>
                <w:sz w:val="24"/>
              </w:rPr>
              <w:t>113</w:t>
            </w:r>
            <w:r>
              <w:rPr>
                <w:b/>
                <w:spacing w:val="-32"/>
                <w:sz w:val="24"/>
              </w:rPr>
              <w:t xml:space="preserve"> 号</w:t>
            </w:r>
            <w:r>
              <w:rPr>
                <w:b/>
                <w:spacing w:val="-12"/>
                <w:sz w:val="24"/>
              </w:rPr>
              <w:t xml:space="preserve">） </w:t>
            </w:r>
            <w:r>
              <w:rPr>
                <w:sz w:val="24"/>
              </w:rPr>
              <w:t>第十七条 存在下列情形之一的，不得公开发行公司债券：</w:t>
            </w:r>
          </w:p>
          <w:p>
            <w:pPr>
              <w:pStyle w:val="7"/>
              <w:spacing w:line="249" w:lineRule="auto"/>
              <w:ind w:left="106" w:right="97" w:firstLine="480"/>
              <w:rPr>
                <w:sz w:val="24"/>
              </w:rPr>
            </w:pPr>
            <w:r>
              <w:rPr>
                <w:sz w:val="24"/>
              </w:rPr>
              <w:t>（一）最近三十六个月内公司财务会计文件存在虚假记载，或公司存在其他重大违法行为；</w:t>
            </w:r>
          </w:p>
          <w:p>
            <w:pPr>
              <w:pStyle w:val="7"/>
              <w:spacing w:line="291" w:lineRule="exact"/>
              <w:ind w:left="586"/>
              <w:rPr>
                <w:sz w:val="24"/>
              </w:rPr>
            </w:pPr>
            <w:r>
              <w:rPr>
                <w:sz w:val="24"/>
              </w:rPr>
              <w:t>（四）严重损害投资者合法权益和社会公共利益的其他情形。</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674" w:type="dxa"/>
          </w:tcPr>
          <w:p>
            <w:pPr>
              <w:pStyle w:val="7"/>
              <w:spacing w:before="6"/>
              <w:ind w:right="94"/>
              <w:jc w:val="right"/>
              <w:rPr>
                <w:sz w:val="24"/>
              </w:rPr>
            </w:pPr>
            <w:r>
              <w:rPr>
                <w:sz w:val="24"/>
              </w:rPr>
              <w:t>6.</w:t>
            </w:r>
            <w:r>
              <w:rPr>
                <w:spacing w:val="6"/>
                <w:sz w:val="24"/>
              </w:rPr>
              <w:t xml:space="preserve"> 在上市公司或者</w:t>
            </w:r>
          </w:p>
          <w:p>
            <w:pPr>
              <w:pStyle w:val="7"/>
              <w:spacing w:before="12" w:line="290" w:lineRule="exact"/>
              <w:ind w:right="97"/>
              <w:jc w:val="right"/>
              <w:rPr>
                <w:sz w:val="24"/>
              </w:rPr>
            </w:pPr>
            <w:r>
              <w:rPr>
                <w:spacing w:val="3"/>
                <w:sz w:val="24"/>
              </w:rPr>
              <w:t>非上市公众公司收购事</w:t>
            </w:r>
          </w:p>
        </w:tc>
        <w:tc>
          <w:tcPr>
            <w:tcW w:w="9598" w:type="dxa"/>
          </w:tcPr>
          <w:p>
            <w:pPr>
              <w:pStyle w:val="7"/>
              <w:spacing w:before="6"/>
              <w:ind w:left="586"/>
              <w:rPr>
                <w:b/>
                <w:sz w:val="24"/>
              </w:rPr>
            </w:pPr>
            <w:r>
              <w:rPr>
                <w:b/>
                <w:sz w:val="24"/>
              </w:rPr>
              <w:t>1.《上市公司收购管理办法》（证监会令第 108 号）</w:t>
            </w:r>
          </w:p>
          <w:p>
            <w:pPr>
              <w:pStyle w:val="7"/>
              <w:spacing w:before="12" w:line="290" w:lineRule="exact"/>
              <w:ind w:left="586"/>
              <w:rPr>
                <w:sz w:val="24"/>
              </w:rPr>
            </w:pPr>
            <w:r>
              <w:rPr>
                <w:sz w:val="24"/>
              </w:rPr>
              <w:t>第六条 任何人不得利用上市公司的收购损害被收购公司及其股东的合法权益。</w:t>
            </w:r>
          </w:p>
        </w:tc>
        <w:tc>
          <w:tcPr>
            <w:tcW w:w="1848" w:type="dxa"/>
          </w:tcPr>
          <w:p>
            <w:pPr>
              <w:pStyle w:val="7"/>
              <w:spacing w:before="165"/>
              <w:ind w:left="108"/>
              <w:rPr>
                <w:sz w:val="24"/>
              </w:rPr>
            </w:pPr>
            <w:r>
              <w:rPr>
                <w:sz w:val="24"/>
              </w:rPr>
              <w:t>证监会</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4" w:hRule="atLeast"/>
        </w:trPr>
        <w:tc>
          <w:tcPr>
            <w:tcW w:w="2674" w:type="dxa"/>
          </w:tcPr>
          <w:p>
            <w:pPr>
              <w:pStyle w:val="7"/>
              <w:spacing w:before="5" w:line="249" w:lineRule="auto"/>
              <w:ind w:left="107" w:right="97"/>
              <w:jc w:val="both"/>
              <w:rPr>
                <w:sz w:val="24"/>
              </w:rPr>
            </w:pPr>
            <w:r>
              <w:rPr>
                <w:sz w:val="24"/>
              </w:rPr>
              <w:t>中事后监管中，对失信责任主体予以重点关注。</w:t>
            </w:r>
          </w:p>
        </w:tc>
        <w:tc>
          <w:tcPr>
            <w:tcW w:w="9598" w:type="dxa"/>
          </w:tcPr>
          <w:p>
            <w:pPr>
              <w:pStyle w:val="7"/>
              <w:spacing w:before="5"/>
              <w:ind w:left="586"/>
              <w:rPr>
                <w:sz w:val="24"/>
              </w:rPr>
            </w:pPr>
            <w:r>
              <w:rPr>
                <w:sz w:val="24"/>
              </w:rPr>
              <w:t>有下列情形之一的，不得收购上市公司：</w:t>
            </w:r>
          </w:p>
          <w:p>
            <w:pPr>
              <w:pStyle w:val="7"/>
              <w:spacing w:before="11"/>
              <w:ind w:left="586"/>
              <w:rPr>
                <w:sz w:val="24"/>
              </w:rPr>
            </w:pPr>
            <w:r>
              <w:rPr>
                <w:sz w:val="24"/>
              </w:rPr>
              <w:t>（一）收购人负有数额较大债务，到期未清偿，且处于持续状态；</w:t>
            </w:r>
          </w:p>
          <w:p>
            <w:pPr>
              <w:pStyle w:val="7"/>
              <w:spacing w:before="12"/>
              <w:ind w:left="586"/>
              <w:rPr>
                <w:sz w:val="24"/>
              </w:rPr>
            </w:pPr>
            <w:r>
              <w:rPr>
                <w:sz w:val="24"/>
              </w:rPr>
              <w:t>（二）</w:t>
            </w:r>
            <w:r>
              <w:rPr>
                <w:spacing w:val="-10"/>
                <w:sz w:val="24"/>
              </w:rPr>
              <w:t xml:space="preserve">收购人最近 </w:t>
            </w:r>
            <w:r>
              <w:rPr>
                <w:sz w:val="24"/>
              </w:rPr>
              <w:t>3</w:t>
            </w:r>
            <w:r>
              <w:rPr>
                <w:spacing w:val="-8"/>
                <w:sz w:val="24"/>
              </w:rPr>
              <w:t xml:space="preserve"> 年有重大违法行为或者涉嫌有重大违法行为；</w:t>
            </w:r>
          </w:p>
          <w:p>
            <w:pPr>
              <w:pStyle w:val="7"/>
              <w:spacing w:before="12"/>
              <w:ind w:left="586"/>
              <w:rPr>
                <w:sz w:val="24"/>
              </w:rPr>
            </w:pPr>
            <w:r>
              <w:rPr>
                <w:sz w:val="24"/>
              </w:rPr>
              <w:t>（三）收购人最近 3 年有严重的证券市场失信行为；</w:t>
            </w:r>
          </w:p>
          <w:p>
            <w:pPr>
              <w:pStyle w:val="7"/>
              <w:spacing w:before="11"/>
              <w:ind w:left="586"/>
              <w:rPr>
                <w:sz w:val="24"/>
              </w:rPr>
            </w:pPr>
            <w:r>
              <w:fldChar w:fldCharType="begin"/>
            </w:r>
            <w:r>
              <w:instrText xml:space="preserve"> HYPERLINK "http://ibd-club.com/ziliao/%E5%A8%89%E6%9B%A1%EE%9D%89/%E9%8D%8F%E3%84%A5%E6%B5%97%E6%B5%9C%E7%83%98%E7%9A%AF%E6%B5%A0%EF%BD%88%E3%80%83%E6%BE%B6%D1%82%E7%B4%B0/%E6%B6%93%E8%AF%B2%E8%85%91%E6%B5%A0?2005_10_42_2013.asp" \h </w:instrText>
            </w:r>
            <w:r>
              <w:fldChar w:fldCharType="separate"/>
            </w:r>
            <w:r>
              <w:rPr>
                <w:sz w:val="24"/>
              </w:rPr>
              <w:t>（四）收购人为自然人的，存在《公司法</w:t>
            </w:r>
            <w:r>
              <w:rPr>
                <w:sz w:val="24"/>
              </w:rPr>
              <w:fldChar w:fldCharType="end"/>
            </w:r>
            <w:r>
              <w:rPr>
                <w:sz w:val="24"/>
              </w:rPr>
              <w:t>》第一百四十六条规定情形；</w:t>
            </w:r>
          </w:p>
          <w:p>
            <w:pPr>
              <w:pStyle w:val="7"/>
              <w:spacing w:before="12" w:line="249" w:lineRule="auto"/>
              <w:ind w:left="589" w:right="359" w:hanging="3"/>
              <w:rPr>
                <w:b/>
                <w:sz w:val="24"/>
              </w:rPr>
            </w:pPr>
            <w:r>
              <w:rPr>
                <w:sz w:val="24"/>
              </w:rPr>
              <w:t>（五）法律、行政法规规定以及中国证监会认定的不得收购上市公司的其他情形。</w:t>
            </w:r>
            <w:r>
              <w:rPr>
                <w:b/>
                <w:sz w:val="24"/>
              </w:rPr>
              <w:t>2.《非上市公众公司收购管理办法》（证监会令第 102 号）</w:t>
            </w:r>
          </w:p>
          <w:p>
            <w:pPr>
              <w:pStyle w:val="7"/>
              <w:spacing w:line="249" w:lineRule="auto"/>
              <w:ind w:left="106" w:right="95" w:firstLine="480"/>
              <w:jc w:val="both"/>
              <w:rPr>
                <w:sz w:val="24"/>
              </w:rPr>
            </w:pPr>
            <w:r>
              <w:rPr>
                <w:spacing w:val="-7"/>
                <w:sz w:val="24"/>
              </w:rPr>
              <w:t>第六条 进行公众公司收购，收购人及其实际控制人应当具有良好的诚信记录，收购人</w:t>
            </w:r>
            <w:r>
              <w:rPr>
                <w:spacing w:val="-1"/>
                <w:sz w:val="24"/>
              </w:rPr>
              <w:t>及其实际控制人为法人的，应当具有健全的公司治理机制。任何人不得利用公众公司收购</w:t>
            </w:r>
            <w:r>
              <w:rPr>
                <w:sz w:val="24"/>
              </w:rPr>
              <w:t>损害被收购公司及其股东的合法权益。</w:t>
            </w:r>
          </w:p>
          <w:p>
            <w:pPr>
              <w:pStyle w:val="7"/>
              <w:spacing w:line="306" w:lineRule="exact"/>
              <w:ind w:left="586"/>
              <w:rPr>
                <w:sz w:val="24"/>
              </w:rPr>
            </w:pPr>
            <w:r>
              <w:rPr>
                <w:sz w:val="24"/>
              </w:rPr>
              <w:t>有下列情形之一的，不得收购公众公司：</w:t>
            </w:r>
          </w:p>
          <w:p>
            <w:pPr>
              <w:pStyle w:val="7"/>
              <w:spacing w:before="11"/>
              <w:ind w:left="466"/>
              <w:rPr>
                <w:sz w:val="24"/>
              </w:rPr>
            </w:pPr>
            <w:r>
              <w:rPr>
                <w:sz w:val="24"/>
              </w:rPr>
              <w:t>（一）收购人负有数额较大债务，到期未清偿，且处于持续状态；</w:t>
            </w:r>
          </w:p>
          <w:p>
            <w:pPr>
              <w:pStyle w:val="7"/>
              <w:spacing w:before="9"/>
              <w:ind w:left="466"/>
              <w:rPr>
                <w:sz w:val="24"/>
              </w:rPr>
            </w:pPr>
            <w:r>
              <w:rPr>
                <w:sz w:val="24"/>
              </w:rPr>
              <w:t>（二）收购人最近２年有重大违法行为或者涉嫌有重大违法行为；</w:t>
            </w:r>
          </w:p>
          <w:p>
            <w:pPr>
              <w:pStyle w:val="7"/>
              <w:spacing w:before="12"/>
              <w:ind w:left="466"/>
              <w:rPr>
                <w:sz w:val="24"/>
              </w:rPr>
            </w:pPr>
            <w:r>
              <w:rPr>
                <w:sz w:val="24"/>
              </w:rPr>
              <w:t>（三）收购人最近２年有严重的证券市场失信行为；</w:t>
            </w:r>
          </w:p>
          <w:p>
            <w:pPr>
              <w:pStyle w:val="7"/>
              <w:spacing w:before="11"/>
              <w:ind w:left="466"/>
              <w:rPr>
                <w:sz w:val="24"/>
              </w:rPr>
            </w:pPr>
            <w:r>
              <w:rPr>
                <w:sz w:val="24"/>
              </w:rPr>
              <w:t>（四）收购人为自然人的，存在《公司法》第一百四十六条规定的情形；</w:t>
            </w:r>
          </w:p>
          <w:p>
            <w:pPr>
              <w:pStyle w:val="7"/>
              <w:spacing w:before="12" w:line="293" w:lineRule="exact"/>
              <w:ind w:left="466"/>
              <w:rPr>
                <w:sz w:val="24"/>
              </w:rPr>
            </w:pPr>
            <w:r>
              <w:rPr>
                <w:sz w:val="24"/>
              </w:rPr>
              <w:t>（五）法律、行政法规规定以及中国证监会认定的不得收购公众公司的其他情形。</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2674" w:type="dxa"/>
          </w:tcPr>
          <w:p>
            <w:pPr>
              <w:pStyle w:val="7"/>
              <w:rPr>
                <w:rFonts w:ascii="Times New Roman"/>
                <w:sz w:val="24"/>
              </w:rPr>
            </w:pPr>
          </w:p>
          <w:p>
            <w:pPr>
              <w:pStyle w:val="7"/>
              <w:rPr>
                <w:rFonts w:ascii="Times New Roman"/>
                <w:sz w:val="24"/>
              </w:rPr>
            </w:pPr>
          </w:p>
          <w:p>
            <w:pPr>
              <w:pStyle w:val="7"/>
              <w:spacing w:before="8"/>
              <w:rPr>
                <w:rFonts w:ascii="Times New Roman"/>
                <w:sz w:val="21"/>
              </w:rPr>
            </w:pPr>
          </w:p>
          <w:p>
            <w:pPr>
              <w:pStyle w:val="7"/>
              <w:spacing w:line="249" w:lineRule="auto"/>
              <w:ind w:left="107" w:right="94" w:firstLine="480"/>
              <w:jc w:val="both"/>
              <w:rPr>
                <w:sz w:val="24"/>
              </w:rPr>
            </w:pPr>
            <w:r>
              <w:rPr>
                <w:sz w:val="24"/>
              </w:rPr>
              <w:t>7.将失信信息作为非上市公众公司重大资产重组审核的参考。</w:t>
            </w:r>
          </w:p>
        </w:tc>
        <w:tc>
          <w:tcPr>
            <w:tcW w:w="9598" w:type="dxa"/>
          </w:tcPr>
          <w:p>
            <w:pPr>
              <w:pStyle w:val="7"/>
              <w:spacing w:before="5"/>
              <w:ind w:left="586"/>
              <w:rPr>
                <w:b/>
                <w:sz w:val="24"/>
              </w:rPr>
            </w:pPr>
            <w:r>
              <w:rPr>
                <w:b/>
                <w:sz w:val="24"/>
              </w:rPr>
              <w:t>《非上市公众公司重大资产重组管理办法》（证监会令第 103 号）</w:t>
            </w:r>
          </w:p>
          <w:p>
            <w:pPr>
              <w:pStyle w:val="7"/>
              <w:spacing w:before="12" w:line="249" w:lineRule="auto"/>
              <w:ind w:left="106" w:right="95" w:firstLine="480"/>
              <w:rPr>
                <w:sz w:val="24"/>
              </w:rPr>
            </w:pPr>
            <w:r>
              <w:rPr>
                <w:spacing w:val="-7"/>
                <w:sz w:val="24"/>
              </w:rPr>
              <w:t>第五条 公众公司的董事、监事和高级管理人员在重大资产重组中，应当诚实守信、勤</w:t>
            </w:r>
            <w:r>
              <w:rPr>
                <w:sz w:val="24"/>
              </w:rPr>
              <w:t>勉尽责，维护公众公司资产的安全，保护公众公司和全体股东的合法权益。</w:t>
            </w:r>
          </w:p>
          <w:p>
            <w:pPr>
              <w:pStyle w:val="7"/>
              <w:spacing w:line="306" w:lineRule="exact"/>
              <w:ind w:left="586"/>
              <w:rPr>
                <w:sz w:val="24"/>
              </w:rPr>
            </w:pPr>
            <w:r>
              <w:rPr>
                <w:sz w:val="24"/>
              </w:rPr>
              <w:t>第二十七条</w:t>
            </w:r>
          </w:p>
          <w:p>
            <w:pPr>
              <w:pStyle w:val="7"/>
              <w:spacing w:line="320" w:lineRule="atLeast"/>
              <w:ind w:left="106" w:right="-29" w:firstLine="480"/>
              <w:rPr>
                <w:sz w:val="24"/>
              </w:rPr>
            </w:pPr>
            <w:r>
              <w:rPr>
                <w:spacing w:val="-4"/>
                <w:sz w:val="24"/>
              </w:rPr>
              <w:t xml:space="preserve">全国股份转让系统应当督促为公众公司提供服务的独立财务顾问诚实守信、勤勉尽责， </w:t>
            </w:r>
            <w:r>
              <w:rPr>
                <w:sz w:val="24"/>
              </w:rPr>
              <w:t>发现独立财务顾问有违反法律、行政法规和中国证监会规定行为的，应当向中国证监会报告，并采取相应的自律监管措施。</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5"/>
              </w:rPr>
            </w:pPr>
          </w:p>
          <w:p>
            <w:pPr>
              <w:pStyle w:val="7"/>
              <w:spacing w:before="1"/>
              <w:ind w:left="108"/>
              <w:rPr>
                <w:sz w:val="24"/>
              </w:rPr>
            </w:pPr>
            <w:r>
              <w:rPr>
                <w:sz w:val="24"/>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674" w:type="dxa"/>
          </w:tcPr>
          <w:p>
            <w:pPr>
              <w:pStyle w:val="7"/>
              <w:spacing w:before="6" w:line="290" w:lineRule="exact"/>
              <w:ind w:left="587"/>
              <w:rPr>
                <w:sz w:val="24"/>
              </w:rPr>
            </w:pPr>
            <w:r>
              <w:rPr>
                <w:sz w:val="24"/>
              </w:rPr>
              <w:t>8.将失信信息作为</w:t>
            </w:r>
          </w:p>
        </w:tc>
        <w:tc>
          <w:tcPr>
            <w:tcW w:w="9598" w:type="dxa"/>
          </w:tcPr>
          <w:p>
            <w:pPr>
              <w:pStyle w:val="7"/>
              <w:spacing w:before="2" w:line="295" w:lineRule="exact"/>
              <w:ind w:left="586"/>
              <w:rPr>
                <w:b/>
                <w:sz w:val="24"/>
              </w:rPr>
            </w:pPr>
            <w:r>
              <w:rPr>
                <w:b/>
                <w:sz w:val="24"/>
              </w:rPr>
              <w:t>《证券投资基金销售管理办法》（证监会令第 91 号）</w:t>
            </w:r>
          </w:p>
        </w:tc>
        <w:tc>
          <w:tcPr>
            <w:tcW w:w="1848" w:type="dxa"/>
          </w:tcPr>
          <w:p>
            <w:pPr>
              <w:pStyle w:val="7"/>
              <w:spacing w:before="6" w:line="290" w:lineRule="exact"/>
              <w:ind w:left="108"/>
              <w:rPr>
                <w:sz w:val="24"/>
              </w:rPr>
            </w:pPr>
            <w:r>
              <w:rPr>
                <w:sz w:val="24"/>
              </w:rPr>
              <w:t>证监会</w:t>
            </w:r>
          </w:p>
        </w:tc>
      </w:tr>
    </w:tbl>
    <w:p>
      <w:pPr>
        <w:spacing w:after="0" w:line="290" w:lineRule="exact"/>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3" w:hRule="atLeast"/>
        </w:trPr>
        <w:tc>
          <w:tcPr>
            <w:tcW w:w="2674" w:type="dxa"/>
          </w:tcPr>
          <w:p>
            <w:pPr>
              <w:pStyle w:val="7"/>
              <w:spacing w:before="5" w:line="249" w:lineRule="auto"/>
              <w:ind w:left="107" w:right="97"/>
              <w:rPr>
                <w:sz w:val="24"/>
              </w:rPr>
            </w:pPr>
            <w:r>
              <w:rPr>
                <w:sz w:val="24"/>
              </w:rPr>
              <w:t>独立基金销售机构审批的参考。</w:t>
            </w:r>
          </w:p>
        </w:tc>
        <w:tc>
          <w:tcPr>
            <w:tcW w:w="9598" w:type="dxa"/>
          </w:tcPr>
          <w:p>
            <w:pPr>
              <w:pStyle w:val="7"/>
              <w:spacing w:before="2" w:line="242" w:lineRule="auto"/>
              <w:ind w:left="106" w:right="95" w:firstLine="480"/>
              <w:rPr>
                <w:sz w:val="24"/>
              </w:rPr>
            </w:pPr>
            <w:r>
              <w:rPr>
                <w:spacing w:val="-5"/>
                <w:sz w:val="24"/>
              </w:rPr>
              <w:t>第十六条 独立基金销售机构以有限责任公司形式设立的，其股东可以是企业法人或者</w:t>
            </w:r>
            <w:r>
              <w:rPr>
                <w:sz w:val="24"/>
              </w:rPr>
              <w:t>自然人。</w:t>
            </w:r>
          </w:p>
          <w:p>
            <w:pPr>
              <w:pStyle w:val="7"/>
              <w:spacing w:before="1"/>
              <w:ind w:left="586"/>
              <w:rPr>
                <w:sz w:val="24"/>
              </w:rPr>
            </w:pPr>
            <w:r>
              <w:rPr>
                <w:sz w:val="24"/>
              </w:rPr>
              <w:t>企业法人参股独立基金销售机构，应当具备以下条件：</w:t>
            </w:r>
          </w:p>
          <w:p>
            <w:pPr>
              <w:pStyle w:val="7"/>
              <w:spacing w:before="4"/>
              <w:ind w:left="586"/>
              <w:rPr>
                <w:sz w:val="24"/>
              </w:rPr>
            </w:pPr>
            <w:r>
              <w:rPr>
                <w:sz w:val="24"/>
              </w:rPr>
              <w:t>（一）持续经营 3 个以上完整会计年度，财务状况良好，运作规范稳定；</w:t>
            </w:r>
          </w:p>
          <w:p>
            <w:pPr>
              <w:pStyle w:val="7"/>
              <w:spacing w:before="5"/>
              <w:ind w:left="586"/>
              <w:rPr>
                <w:sz w:val="24"/>
              </w:rPr>
            </w:pPr>
            <w:r>
              <w:rPr>
                <w:sz w:val="24"/>
              </w:rPr>
              <w:t>（二）最近 3 年没有受到刑事处罚；</w:t>
            </w:r>
          </w:p>
          <w:p>
            <w:pPr>
              <w:pStyle w:val="7"/>
              <w:spacing w:before="2" w:line="242" w:lineRule="auto"/>
              <w:ind w:left="106" w:right="95" w:firstLine="480"/>
              <w:rPr>
                <w:sz w:val="24"/>
              </w:rPr>
            </w:pPr>
            <w:r>
              <w:rPr>
                <w:sz w:val="24"/>
              </w:rPr>
              <w:t>（三）</w:t>
            </w:r>
            <w:r>
              <w:rPr>
                <w:spacing w:val="-17"/>
                <w:sz w:val="24"/>
              </w:rPr>
              <w:t xml:space="preserve">最近 </w:t>
            </w:r>
            <w:r>
              <w:rPr>
                <w:sz w:val="24"/>
              </w:rPr>
              <w:t>3</w:t>
            </w:r>
            <w:r>
              <w:rPr>
                <w:spacing w:val="-9"/>
                <w:sz w:val="24"/>
              </w:rPr>
              <w:t xml:space="preserve"> 年没有受到金融监管、行业监管、工商、税务等行政管理部门的行政处</w:t>
            </w:r>
            <w:r>
              <w:rPr>
                <w:sz w:val="24"/>
              </w:rPr>
              <w:t>罚；</w:t>
            </w:r>
          </w:p>
          <w:p>
            <w:pPr>
              <w:pStyle w:val="7"/>
              <w:ind w:left="586"/>
              <w:rPr>
                <w:sz w:val="24"/>
              </w:rPr>
            </w:pPr>
            <w:r>
              <w:rPr>
                <w:sz w:val="24"/>
              </w:rPr>
              <w:t>（四）最近 3 年在自律管理、商业银行等机构无不良记录；</w:t>
            </w:r>
          </w:p>
          <w:p>
            <w:pPr>
              <w:pStyle w:val="7"/>
              <w:spacing w:before="5"/>
              <w:ind w:left="586"/>
              <w:rPr>
                <w:sz w:val="24"/>
              </w:rPr>
            </w:pPr>
            <w:r>
              <w:rPr>
                <w:sz w:val="24"/>
              </w:rPr>
              <w:t>（五）没有因违法违规行为正在被监管机构调查或者正处于整改期间。</w:t>
            </w:r>
          </w:p>
          <w:p>
            <w:pPr>
              <w:pStyle w:val="7"/>
              <w:spacing w:before="2"/>
              <w:ind w:left="586"/>
              <w:rPr>
                <w:sz w:val="24"/>
              </w:rPr>
            </w:pPr>
            <w:r>
              <w:rPr>
                <w:sz w:val="24"/>
              </w:rPr>
              <w:t>第十七条 独立基金销售机构以合伙企业形式设立的，其合伙人应当具备以下条件：</w:t>
            </w:r>
          </w:p>
          <w:p>
            <w:pPr>
              <w:pStyle w:val="7"/>
              <w:spacing w:before="5"/>
              <w:ind w:left="586"/>
              <w:rPr>
                <w:sz w:val="24"/>
              </w:rPr>
            </w:pPr>
            <w:r>
              <w:rPr>
                <w:sz w:val="24"/>
              </w:rPr>
              <w:t>（一</w:t>
            </w:r>
            <w:r>
              <w:rPr>
                <w:spacing w:val="-12"/>
                <w:sz w:val="24"/>
              </w:rPr>
              <w:t>）</w:t>
            </w:r>
            <w:r>
              <w:rPr>
                <w:spacing w:val="-6"/>
                <w:sz w:val="24"/>
              </w:rPr>
              <w:t xml:space="preserve">有从事证券、基金或者其他金融业务 </w:t>
            </w:r>
            <w:r>
              <w:rPr>
                <w:sz w:val="24"/>
              </w:rPr>
              <w:t>10</w:t>
            </w:r>
            <w:r>
              <w:rPr>
                <w:spacing w:val="-12"/>
                <w:sz w:val="24"/>
              </w:rPr>
              <w:t xml:space="preserve"> 年以上或者证券、基金业务部门管理 </w:t>
            </w:r>
            <w:r>
              <w:rPr>
                <w:sz w:val="24"/>
              </w:rPr>
              <w:t>5</w:t>
            </w:r>
          </w:p>
          <w:p>
            <w:pPr>
              <w:pStyle w:val="7"/>
              <w:spacing w:before="4"/>
              <w:ind w:left="106"/>
              <w:rPr>
                <w:sz w:val="24"/>
              </w:rPr>
            </w:pPr>
            <w:r>
              <w:rPr>
                <w:sz w:val="24"/>
              </w:rPr>
              <w:t>年以上或者担任证券、基金行业高级管理人员 3 年以上的工作经历；</w:t>
            </w:r>
          </w:p>
          <w:p>
            <w:pPr>
              <w:pStyle w:val="7"/>
              <w:spacing w:before="5"/>
              <w:ind w:left="586"/>
              <w:rPr>
                <w:sz w:val="24"/>
              </w:rPr>
            </w:pPr>
            <w:r>
              <w:rPr>
                <w:sz w:val="24"/>
              </w:rPr>
              <w:t>（二）最近 3 年没有受到刑事处罚；</w:t>
            </w:r>
          </w:p>
          <w:p>
            <w:pPr>
              <w:pStyle w:val="7"/>
              <w:spacing w:before="2"/>
              <w:ind w:left="586"/>
              <w:rPr>
                <w:sz w:val="24"/>
              </w:rPr>
            </w:pPr>
            <w:r>
              <w:rPr>
                <w:sz w:val="24"/>
              </w:rPr>
              <w:t>（三）最近 3 年没有受到金融监管、工商、税务等行政管理部门的行政处罚；</w:t>
            </w:r>
          </w:p>
          <w:p>
            <w:pPr>
              <w:pStyle w:val="7"/>
              <w:spacing w:before="4"/>
              <w:ind w:left="586"/>
              <w:rPr>
                <w:sz w:val="24"/>
              </w:rPr>
            </w:pPr>
            <w:r>
              <w:rPr>
                <w:sz w:val="24"/>
              </w:rPr>
              <w:t>（四）在自律管理、商业银行等机构无不良记录；</w:t>
            </w:r>
          </w:p>
          <w:p>
            <w:pPr>
              <w:pStyle w:val="7"/>
              <w:spacing w:before="5"/>
              <w:ind w:left="586"/>
              <w:rPr>
                <w:sz w:val="24"/>
              </w:rPr>
            </w:pPr>
            <w:r>
              <w:rPr>
                <w:sz w:val="24"/>
              </w:rPr>
              <w:t>（五）无到期未清偿的数额较大的债务；</w:t>
            </w:r>
          </w:p>
          <w:p>
            <w:pPr>
              <w:pStyle w:val="7"/>
              <w:spacing w:before="2" w:line="291" w:lineRule="exact"/>
              <w:ind w:left="586"/>
              <w:rPr>
                <w:sz w:val="24"/>
              </w:rPr>
            </w:pPr>
            <w:r>
              <w:rPr>
                <w:sz w:val="24"/>
              </w:rPr>
              <w:t>（六）最近 3 年无其他重大不良诚信记录。</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2674" w:type="dxa"/>
          </w:tcPr>
          <w:p>
            <w:pPr>
              <w:pStyle w:val="7"/>
              <w:spacing w:before="164" w:line="249" w:lineRule="auto"/>
              <w:ind w:left="107" w:right="94" w:firstLine="480"/>
              <w:jc w:val="both"/>
              <w:rPr>
                <w:sz w:val="24"/>
              </w:rPr>
            </w:pPr>
            <w:r>
              <w:rPr>
                <w:sz w:val="24"/>
              </w:rPr>
              <w:t>9.对存在失信记录的相关主体在证券、基金、期货从业资格申请中予以从严审核，对已成为证券、基金、期货从业人员的相关主体予以重点关注。</w:t>
            </w:r>
          </w:p>
        </w:tc>
        <w:tc>
          <w:tcPr>
            <w:tcW w:w="9598" w:type="dxa"/>
          </w:tcPr>
          <w:p>
            <w:pPr>
              <w:pStyle w:val="7"/>
              <w:spacing w:before="5"/>
              <w:ind w:left="586"/>
              <w:rPr>
                <w:b/>
                <w:sz w:val="24"/>
              </w:rPr>
            </w:pPr>
            <w:r>
              <w:rPr>
                <w:b/>
                <w:sz w:val="24"/>
              </w:rPr>
              <w:t>1.《证券业从业人员资格管理办法》（证监会令第 14 号）</w:t>
            </w:r>
          </w:p>
          <w:p>
            <w:pPr>
              <w:pStyle w:val="7"/>
              <w:spacing w:before="12"/>
              <w:ind w:left="586"/>
              <w:rPr>
                <w:sz w:val="24"/>
              </w:rPr>
            </w:pPr>
            <w:r>
              <w:rPr>
                <w:sz w:val="24"/>
              </w:rPr>
              <w:t>第十条 取得从业资格的人员，符合下列条件的，可以通过机构申请执业证书：</w:t>
            </w:r>
          </w:p>
          <w:p>
            <w:pPr>
              <w:pStyle w:val="7"/>
              <w:spacing w:before="12"/>
              <w:ind w:left="586"/>
              <w:rPr>
                <w:sz w:val="24"/>
              </w:rPr>
            </w:pPr>
            <w:r>
              <w:rPr>
                <w:sz w:val="24"/>
              </w:rPr>
              <w:t>（一）已被机构聘用；</w:t>
            </w:r>
          </w:p>
          <w:p>
            <w:pPr>
              <w:pStyle w:val="7"/>
              <w:spacing w:before="11"/>
              <w:ind w:left="586"/>
              <w:rPr>
                <w:sz w:val="24"/>
              </w:rPr>
            </w:pPr>
            <w:r>
              <w:rPr>
                <w:sz w:val="24"/>
              </w:rPr>
              <w:t>（二）最近三年未受过刑事处罚；</w:t>
            </w:r>
          </w:p>
          <w:p>
            <w:pPr>
              <w:pStyle w:val="7"/>
              <w:spacing w:before="10"/>
              <w:ind w:left="586"/>
              <w:rPr>
                <w:sz w:val="24"/>
              </w:rPr>
            </w:pPr>
            <w:r>
              <w:rPr>
                <w:sz w:val="24"/>
              </w:rPr>
              <w:t>（三）不存在《中华人民共和国证券法》第一百二十六条规定的情形；</w:t>
            </w:r>
          </w:p>
          <w:p>
            <w:pPr>
              <w:pStyle w:val="7"/>
              <w:spacing w:before="11"/>
              <w:ind w:left="586"/>
              <w:rPr>
                <w:sz w:val="24"/>
              </w:rPr>
            </w:pPr>
            <w:r>
              <w:rPr>
                <w:sz w:val="24"/>
              </w:rPr>
              <w:t>（四）未被中国证监会认定为证券市场禁入者，或者已过禁入期的；</w:t>
            </w:r>
          </w:p>
          <w:p>
            <w:pPr>
              <w:pStyle w:val="7"/>
              <w:spacing w:before="12"/>
              <w:ind w:left="586"/>
              <w:rPr>
                <w:sz w:val="24"/>
              </w:rPr>
            </w:pPr>
            <w:r>
              <w:rPr>
                <w:sz w:val="24"/>
              </w:rPr>
              <w:t>（五）品行端正，具有良好的职业道德；</w:t>
            </w:r>
          </w:p>
          <w:p>
            <w:pPr>
              <w:pStyle w:val="7"/>
              <w:spacing w:before="12" w:line="292" w:lineRule="exact"/>
              <w:ind w:left="586"/>
              <w:rPr>
                <w:sz w:val="24"/>
              </w:rPr>
            </w:pPr>
            <w:r>
              <w:rPr>
                <w:sz w:val="24"/>
              </w:rPr>
              <w:t>（六）法律、行政法规和中国证监会规定的其他条件。</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5"/>
              </w:rPr>
            </w:pPr>
          </w:p>
          <w:p>
            <w:pPr>
              <w:pStyle w:val="7"/>
              <w:ind w:left="108"/>
              <w:rPr>
                <w:sz w:val="24"/>
              </w:rPr>
            </w:pPr>
            <w:r>
              <w:rPr>
                <w:sz w:val="24"/>
              </w:rPr>
              <w:t>证监会</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1" w:hRule="atLeast"/>
        </w:trPr>
        <w:tc>
          <w:tcPr>
            <w:tcW w:w="2674" w:type="dxa"/>
          </w:tcPr>
          <w:p>
            <w:pPr>
              <w:pStyle w:val="7"/>
              <w:rPr>
                <w:rFonts w:ascii="Times New Roman"/>
                <w:sz w:val="24"/>
              </w:rPr>
            </w:pPr>
          </w:p>
        </w:tc>
        <w:tc>
          <w:tcPr>
            <w:tcW w:w="9598" w:type="dxa"/>
          </w:tcPr>
          <w:p>
            <w:pPr>
              <w:pStyle w:val="7"/>
              <w:spacing w:before="5" w:line="249" w:lineRule="auto"/>
              <w:ind w:left="106" w:right="97" w:firstLine="480"/>
              <w:rPr>
                <w:sz w:val="24"/>
              </w:rPr>
            </w:pPr>
            <w:r>
              <w:rPr>
                <w:sz w:val="24"/>
              </w:rPr>
              <w:t>申请执业证券投资咨询以及证券资信评估业务的，申请人应当同时符合《中华人民共和国证券法》第一百五十八条，以及其他相关规定。</w:t>
            </w:r>
          </w:p>
          <w:p>
            <w:pPr>
              <w:pStyle w:val="7"/>
              <w:numPr>
                <w:ilvl w:val="0"/>
                <w:numId w:val="12"/>
              </w:numPr>
              <w:tabs>
                <w:tab w:val="left" w:pos="831"/>
              </w:tabs>
              <w:spacing w:before="0" w:after="0" w:line="306" w:lineRule="exact"/>
              <w:ind w:left="830" w:right="0" w:hanging="245"/>
              <w:jc w:val="left"/>
              <w:rPr>
                <w:b/>
                <w:sz w:val="24"/>
              </w:rPr>
            </w:pPr>
            <w:r>
              <w:rPr>
                <w:b/>
                <w:sz w:val="24"/>
              </w:rPr>
              <w:t>《期货从业人员管理办法》（</w:t>
            </w:r>
            <w:r>
              <w:rPr>
                <w:b/>
                <w:spacing w:val="-11"/>
                <w:sz w:val="24"/>
              </w:rPr>
              <w:t xml:space="preserve">证监会令第 </w:t>
            </w:r>
            <w:r>
              <w:rPr>
                <w:b/>
                <w:sz w:val="24"/>
              </w:rPr>
              <w:t>48</w:t>
            </w:r>
            <w:r>
              <w:rPr>
                <w:b/>
                <w:spacing w:val="-31"/>
                <w:sz w:val="24"/>
              </w:rPr>
              <w:t xml:space="preserve"> 号</w:t>
            </w:r>
            <w:r>
              <w:rPr>
                <w:b/>
                <w:sz w:val="24"/>
              </w:rPr>
              <w:t>）</w:t>
            </w:r>
          </w:p>
          <w:p>
            <w:pPr>
              <w:pStyle w:val="7"/>
              <w:tabs>
                <w:tab w:val="left" w:pos="1575"/>
              </w:tabs>
              <w:spacing w:before="11" w:line="249" w:lineRule="auto"/>
              <w:ind w:left="106" w:right="97" w:firstLine="480"/>
              <w:rPr>
                <w:sz w:val="24"/>
              </w:rPr>
            </w:pPr>
            <w:r>
              <w:rPr>
                <w:spacing w:val="7"/>
                <w:sz w:val="24"/>
              </w:rPr>
              <w:t>第十</w:t>
            </w:r>
            <w:r>
              <w:rPr>
                <w:sz w:val="24"/>
              </w:rPr>
              <w:t>条</w:t>
            </w:r>
            <w:r>
              <w:rPr>
                <w:sz w:val="24"/>
              </w:rPr>
              <w:tab/>
            </w:r>
            <w:r>
              <w:rPr>
                <w:spacing w:val="7"/>
                <w:sz w:val="24"/>
              </w:rPr>
              <w:t>机构任用</w:t>
            </w:r>
            <w:r>
              <w:rPr>
                <w:spacing w:val="9"/>
                <w:sz w:val="24"/>
              </w:rPr>
              <w:t>具</w:t>
            </w:r>
            <w:r>
              <w:rPr>
                <w:spacing w:val="7"/>
                <w:sz w:val="24"/>
              </w:rPr>
              <w:t>有从业资格考试</w:t>
            </w:r>
            <w:r>
              <w:rPr>
                <w:spacing w:val="9"/>
                <w:sz w:val="24"/>
              </w:rPr>
              <w:t>合</w:t>
            </w:r>
            <w:r>
              <w:rPr>
                <w:spacing w:val="7"/>
                <w:sz w:val="24"/>
              </w:rPr>
              <w:t>格证明且符合下列</w:t>
            </w:r>
            <w:r>
              <w:rPr>
                <w:spacing w:val="9"/>
                <w:sz w:val="24"/>
              </w:rPr>
              <w:t>条</w:t>
            </w:r>
            <w:r>
              <w:rPr>
                <w:spacing w:val="7"/>
                <w:sz w:val="24"/>
              </w:rPr>
              <w:t>件的人员从事期</w:t>
            </w:r>
            <w:r>
              <w:rPr>
                <w:spacing w:val="9"/>
                <w:sz w:val="24"/>
              </w:rPr>
              <w:t>货</w:t>
            </w:r>
            <w:r>
              <w:rPr>
                <w:spacing w:val="7"/>
                <w:sz w:val="24"/>
              </w:rPr>
              <w:t>业</w:t>
            </w:r>
            <w:r>
              <w:rPr>
                <w:sz w:val="24"/>
              </w:rPr>
              <w:t>务的，应当为其办理从业资格申请：</w:t>
            </w:r>
          </w:p>
          <w:p>
            <w:pPr>
              <w:pStyle w:val="7"/>
              <w:spacing w:line="306" w:lineRule="exact"/>
              <w:ind w:left="586"/>
              <w:rPr>
                <w:sz w:val="24"/>
              </w:rPr>
            </w:pPr>
            <w:r>
              <w:rPr>
                <w:sz w:val="24"/>
              </w:rPr>
              <w:t>（一）品行端正，具有良好的职业道德；</w:t>
            </w:r>
          </w:p>
          <w:p>
            <w:pPr>
              <w:pStyle w:val="7"/>
              <w:spacing w:before="12"/>
              <w:ind w:left="586"/>
              <w:rPr>
                <w:sz w:val="24"/>
              </w:rPr>
            </w:pPr>
            <w:r>
              <w:rPr>
                <w:sz w:val="24"/>
              </w:rPr>
              <w:t>（二）已被本机构聘用；</w:t>
            </w:r>
          </w:p>
          <w:p>
            <w:pPr>
              <w:pStyle w:val="7"/>
              <w:spacing w:before="12"/>
              <w:ind w:left="586"/>
              <w:rPr>
                <w:sz w:val="24"/>
              </w:rPr>
            </w:pPr>
            <w:r>
              <w:rPr>
                <w:sz w:val="24"/>
              </w:rPr>
              <w:t>（三）最近 3 年内未受过刑事处罚或者中国证监会等金融监管机构的行政处罚；</w:t>
            </w:r>
          </w:p>
          <w:p>
            <w:pPr>
              <w:pStyle w:val="7"/>
              <w:spacing w:before="12"/>
              <w:ind w:left="586"/>
              <w:rPr>
                <w:sz w:val="24"/>
              </w:rPr>
            </w:pPr>
            <w:r>
              <w:rPr>
                <w:sz w:val="24"/>
              </w:rPr>
              <w:t>（四）未被中国证监会等金融监管机构采取市场禁入措施，或者禁入期已经届满；</w:t>
            </w:r>
          </w:p>
          <w:p>
            <w:pPr>
              <w:pStyle w:val="7"/>
              <w:spacing w:before="11"/>
              <w:ind w:left="586"/>
              <w:rPr>
                <w:sz w:val="24"/>
              </w:rPr>
            </w:pPr>
            <w:r>
              <w:rPr>
                <w:sz w:val="24"/>
              </w:rPr>
              <w:t>（五）最近 3 年内未因违法违规行为被撤销证券、期货从业资格；</w:t>
            </w:r>
          </w:p>
          <w:p>
            <w:pPr>
              <w:pStyle w:val="7"/>
              <w:spacing w:before="12"/>
              <w:ind w:left="586"/>
              <w:rPr>
                <w:sz w:val="24"/>
              </w:rPr>
            </w:pPr>
            <w:r>
              <w:rPr>
                <w:sz w:val="24"/>
              </w:rPr>
              <w:t>（六）中国证监会规定的其他条件。</w:t>
            </w:r>
          </w:p>
          <w:p>
            <w:pPr>
              <w:pStyle w:val="7"/>
              <w:spacing w:before="12" w:line="247" w:lineRule="auto"/>
              <w:ind w:left="106" w:right="97" w:firstLine="480"/>
              <w:rPr>
                <w:sz w:val="24"/>
              </w:rPr>
            </w:pPr>
            <w:r>
              <w:rPr>
                <w:sz w:val="24"/>
              </w:rPr>
              <w:t>机构不得任用无从业资格的人员从事期货业务，不得在办理从业资格申请过程中弄虚作假。</w:t>
            </w:r>
          </w:p>
          <w:p>
            <w:pPr>
              <w:pStyle w:val="7"/>
              <w:numPr>
                <w:ilvl w:val="0"/>
                <w:numId w:val="12"/>
              </w:numPr>
              <w:tabs>
                <w:tab w:val="left" w:pos="831"/>
              </w:tabs>
              <w:spacing w:before="2" w:after="0" w:line="240" w:lineRule="auto"/>
              <w:ind w:left="830" w:right="0" w:hanging="245"/>
              <w:jc w:val="left"/>
              <w:rPr>
                <w:b/>
                <w:sz w:val="24"/>
              </w:rPr>
            </w:pPr>
            <w:r>
              <w:rPr>
                <w:b/>
                <w:sz w:val="24"/>
              </w:rPr>
              <w:t>《私募投资基金监督管理暂行办法》（</w:t>
            </w:r>
            <w:r>
              <w:rPr>
                <w:b/>
                <w:spacing w:val="-10"/>
                <w:sz w:val="24"/>
              </w:rPr>
              <w:t xml:space="preserve">证监会令第 </w:t>
            </w:r>
            <w:r>
              <w:rPr>
                <w:b/>
                <w:sz w:val="24"/>
              </w:rPr>
              <w:t>105</w:t>
            </w:r>
            <w:r>
              <w:rPr>
                <w:b/>
                <w:spacing w:val="-31"/>
                <w:sz w:val="24"/>
              </w:rPr>
              <w:t xml:space="preserve"> 号</w:t>
            </w:r>
            <w:r>
              <w:rPr>
                <w:b/>
                <w:sz w:val="24"/>
              </w:rPr>
              <w:t>）</w:t>
            </w:r>
          </w:p>
          <w:p>
            <w:pPr>
              <w:pStyle w:val="7"/>
              <w:spacing w:before="12" w:line="249" w:lineRule="auto"/>
              <w:ind w:left="106" w:right="1" w:firstLine="480"/>
              <w:rPr>
                <w:sz w:val="24"/>
              </w:rPr>
            </w:pPr>
            <w:r>
              <w:rPr>
                <w:sz w:val="24"/>
              </w:rPr>
              <w:t>第四条 私募基金管理人和从事私募基金托管业务的机构（以下简称私募基金托管人） 管理、运用私募基金财产，从事私募基金销售业务的机构（以下简称私募基金销售机构） 及其他私募服务机构从事私募基金服务活动，应当恪尽职守，履行诚实信用、谨慎勤勉的义务。</w:t>
            </w:r>
          </w:p>
          <w:p>
            <w:pPr>
              <w:pStyle w:val="7"/>
              <w:spacing w:line="290" w:lineRule="exact"/>
              <w:ind w:left="586"/>
              <w:rPr>
                <w:sz w:val="24"/>
              </w:rPr>
            </w:pPr>
            <w:r>
              <w:rPr>
                <w:sz w:val="24"/>
              </w:rPr>
              <w:t>私募基金从业人员应当遵守法律、行政法规，恪守职业道德和行为规范。</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2674" w:type="dxa"/>
          </w:tcPr>
          <w:p>
            <w:pPr>
              <w:pStyle w:val="7"/>
              <w:spacing w:before="6" w:line="249" w:lineRule="auto"/>
              <w:ind w:left="107" w:right="-29" w:firstLine="480"/>
              <w:rPr>
                <w:sz w:val="24"/>
              </w:rPr>
            </w:pPr>
            <w:r>
              <w:rPr>
                <w:sz w:val="24"/>
              </w:rPr>
              <w:t>10.</w:t>
            </w:r>
            <w:r>
              <w:rPr>
                <w:spacing w:val="6"/>
                <w:sz w:val="24"/>
              </w:rPr>
              <w:t xml:space="preserve"> 将失信信息作</w:t>
            </w:r>
            <w:r>
              <w:rPr>
                <w:spacing w:val="3"/>
                <w:sz w:val="24"/>
              </w:rPr>
              <w:t>为证券公司、基金管理</w:t>
            </w:r>
            <w:r>
              <w:rPr>
                <w:spacing w:val="-9"/>
                <w:sz w:val="24"/>
              </w:rPr>
              <w:t>公司、期货公司的董事、</w:t>
            </w:r>
            <w:r>
              <w:rPr>
                <w:spacing w:val="3"/>
                <w:sz w:val="24"/>
              </w:rPr>
              <w:t>监事和高级管理人员及分支机构负责人任职审</w:t>
            </w:r>
          </w:p>
          <w:p>
            <w:pPr>
              <w:pStyle w:val="7"/>
              <w:spacing w:line="287" w:lineRule="exact"/>
              <w:ind w:left="107"/>
              <w:rPr>
                <w:sz w:val="24"/>
              </w:rPr>
            </w:pPr>
            <w:r>
              <w:rPr>
                <w:sz w:val="24"/>
              </w:rPr>
              <w:t>批或备案的参考。</w:t>
            </w:r>
          </w:p>
        </w:tc>
        <w:tc>
          <w:tcPr>
            <w:tcW w:w="9598" w:type="dxa"/>
          </w:tcPr>
          <w:p>
            <w:pPr>
              <w:pStyle w:val="7"/>
              <w:spacing w:before="6"/>
              <w:ind w:left="586"/>
              <w:rPr>
                <w:b/>
                <w:sz w:val="24"/>
              </w:rPr>
            </w:pPr>
            <w:r>
              <w:rPr>
                <w:b/>
                <w:w w:val="95"/>
                <w:sz w:val="24"/>
              </w:rPr>
              <w:t>1.《中华人民共和国证券法》</w:t>
            </w:r>
          </w:p>
          <w:p>
            <w:pPr>
              <w:pStyle w:val="7"/>
              <w:spacing w:before="11" w:line="249" w:lineRule="auto"/>
              <w:ind w:left="106" w:right="1" w:firstLine="480"/>
              <w:rPr>
                <w:sz w:val="24"/>
              </w:rPr>
            </w:pPr>
            <w:r>
              <w:rPr>
                <w:spacing w:val="-1"/>
                <w:sz w:val="24"/>
              </w:rPr>
              <w:t xml:space="preserve">第一百三十一条 证券公司的董事、监事、高级管理人员，应当正直诚实，品行良好， </w:t>
            </w:r>
            <w:r>
              <w:rPr>
                <w:sz w:val="24"/>
              </w:rPr>
              <w:t>熟悉证券法律、行政法规，具有履行职责所需的经营管理能力，并在任职前取得国务院证券监督管理机构核准的任职资格。</w:t>
            </w:r>
          </w:p>
          <w:p>
            <w:pPr>
              <w:pStyle w:val="7"/>
              <w:spacing w:line="306" w:lineRule="exact"/>
              <w:ind w:left="586"/>
              <w:rPr>
                <w:sz w:val="24"/>
              </w:rPr>
            </w:pPr>
            <w:r>
              <w:rPr>
                <w:sz w:val="24"/>
              </w:rPr>
              <w:t>有《中华人民共和国公司法》第一百四十六条规定的情形或者下列情形之一的，不得</w:t>
            </w:r>
          </w:p>
          <w:p>
            <w:pPr>
              <w:pStyle w:val="7"/>
              <w:spacing w:before="12" w:line="290" w:lineRule="exact"/>
              <w:ind w:left="106"/>
              <w:rPr>
                <w:sz w:val="24"/>
              </w:rPr>
            </w:pPr>
            <w:r>
              <w:rPr>
                <w:sz w:val="24"/>
              </w:rPr>
              <w:t>担任证券公司的董事、监事、高级管理人员：</w:t>
            </w:r>
          </w:p>
        </w:tc>
        <w:tc>
          <w:tcPr>
            <w:tcW w:w="1848" w:type="dxa"/>
          </w:tcPr>
          <w:p>
            <w:pPr>
              <w:pStyle w:val="7"/>
              <w:rPr>
                <w:rFonts w:ascii="Times New Roman"/>
                <w:sz w:val="24"/>
              </w:rPr>
            </w:pPr>
          </w:p>
          <w:p>
            <w:pPr>
              <w:pStyle w:val="7"/>
              <w:rPr>
                <w:rFonts w:ascii="Times New Roman"/>
                <w:sz w:val="24"/>
              </w:rPr>
            </w:pPr>
          </w:p>
          <w:p>
            <w:pPr>
              <w:pStyle w:val="7"/>
              <w:spacing w:before="9"/>
              <w:rPr>
                <w:rFonts w:ascii="Times New Roman"/>
                <w:sz w:val="21"/>
              </w:rPr>
            </w:pPr>
          </w:p>
          <w:p>
            <w:pPr>
              <w:pStyle w:val="7"/>
              <w:ind w:left="108"/>
              <w:rPr>
                <w:sz w:val="24"/>
              </w:rPr>
            </w:pPr>
            <w:r>
              <w:rPr>
                <w:sz w:val="24"/>
              </w:rPr>
              <w:t>证监会</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3" w:hRule="atLeast"/>
        </w:trPr>
        <w:tc>
          <w:tcPr>
            <w:tcW w:w="2674" w:type="dxa"/>
          </w:tcPr>
          <w:p>
            <w:pPr>
              <w:pStyle w:val="7"/>
              <w:rPr>
                <w:rFonts w:ascii="Times New Roman"/>
                <w:sz w:val="24"/>
              </w:rPr>
            </w:pPr>
          </w:p>
        </w:tc>
        <w:tc>
          <w:tcPr>
            <w:tcW w:w="9598" w:type="dxa"/>
          </w:tcPr>
          <w:p>
            <w:pPr>
              <w:pStyle w:val="7"/>
              <w:spacing w:before="5" w:line="249" w:lineRule="auto"/>
              <w:ind w:left="106" w:right="97" w:firstLine="480"/>
              <w:rPr>
                <w:sz w:val="24"/>
              </w:rPr>
            </w:pPr>
            <w:r>
              <w:rPr>
                <w:sz w:val="24"/>
              </w:rPr>
              <w:t>（一）因违法行为或者违纪行为被解除职务的证券交易所、证券登记结算机构的负责人或者证券公司的董事、监事、高级管理人员，自被解除职务之日起未逾五年；</w:t>
            </w:r>
          </w:p>
          <w:p>
            <w:pPr>
              <w:pStyle w:val="7"/>
              <w:spacing w:line="249" w:lineRule="auto"/>
              <w:ind w:left="106" w:right="97" w:firstLine="480"/>
              <w:jc w:val="both"/>
              <w:rPr>
                <w:sz w:val="24"/>
              </w:rPr>
            </w:pPr>
            <w:r>
              <w:rPr>
                <w:sz w:val="24"/>
              </w:rPr>
              <w:t>（二）因违法行为或者违纪行为被撤销资格的律师、注册会计师或者投资咨询机构、财务顾问机构、资信评级机构、资产评估机构、验证机构的专业人员，自被撤销资格之日起未逾五年。</w:t>
            </w:r>
          </w:p>
          <w:p>
            <w:pPr>
              <w:pStyle w:val="7"/>
              <w:numPr>
                <w:ilvl w:val="0"/>
                <w:numId w:val="13"/>
              </w:numPr>
              <w:tabs>
                <w:tab w:val="left" w:pos="831"/>
              </w:tabs>
              <w:spacing w:before="0" w:after="0" w:line="306" w:lineRule="exact"/>
              <w:ind w:left="830" w:right="0" w:hanging="245"/>
              <w:jc w:val="left"/>
              <w:rPr>
                <w:b/>
                <w:sz w:val="24"/>
              </w:rPr>
            </w:pPr>
            <w:r>
              <w:rPr>
                <w:b/>
                <w:sz w:val="24"/>
              </w:rPr>
              <w:t>《中华人民共和国证券投资基金法》</w:t>
            </w:r>
          </w:p>
          <w:p>
            <w:pPr>
              <w:pStyle w:val="7"/>
              <w:spacing w:before="10" w:line="249" w:lineRule="auto"/>
              <w:ind w:left="106" w:right="95" w:firstLine="480"/>
              <w:rPr>
                <w:sz w:val="24"/>
              </w:rPr>
            </w:pPr>
            <w:r>
              <w:rPr>
                <w:spacing w:val="-6"/>
                <w:sz w:val="24"/>
              </w:rPr>
              <w:t>第十五条 有下列情形之一的，不得担任公开募集基金的基金管理人的董事、监事、高</w:t>
            </w:r>
            <w:r>
              <w:rPr>
                <w:sz w:val="24"/>
              </w:rPr>
              <w:t>级管理人员和其他从业人员：</w:t>
            </w:r>
          </w:p>
          <w:p>
            <w:pPr>
              <w:pStyle w:val="7"/>
              <w:spacing w:line="249" w:lineRule="auto"/>
              <w:ind w:left="106" w:right="97" w:firstLine="480"/>
              <w:rPr>
                <w:sz w:val="24"/>
              </w:rPr>
            </w:pPr>
            <w:r>
              <w:rPr>
                <w:sz w:val="24"/>
              </w:rPr>
              <w:t>（一）因犯有贪污贿赂、渎职、侵犯财产罪或者破坏社会主义市场经济秩序罪，被判处刑罚的；</w:t>
            </w:r>
          </w:p>
          <w:p>
            <w:pPr>
              <w:pStyle w:val="7"/>
              <w:spacing w:line="247" w:lineRule="auto"/>
              <w:ind w:left="106" w:right="97" w:firstLine="480"/>
              <w:jc w:val="both"/>
              <w:rPr>
                <w:sz w:val="24"/>
              </w:rPr>
            </w:pPr>
            <w:r>
              <w:rPr>
                <w:sz w:val="24"/>
              </w:rPr>
              <w:t>（二）对所任职的公司、企业因经营不善破产清算或者因违法被吊销营业执照负有个人责任的董事、监事、厂长、高级管理人员，自该公司、企业破产清算终结或者被吊销营业执照之日起未逾五年的；</w:t>
            </w:r>
          </w:p>
          <w:p>
            <w:pPr>
              <w:pStyle w:val="7"/>
              <w:spacing w:before="3"/>
              <w:ind w:left="586"/>
              <w:rPr>
                <w:sz w:val="24"/>
              </w:rPr>
            </w:pPr>
            <w:r>
              <w:rPr>
                <w:sz w:val="24"/>
              </w:rPr>
              <w:t>（三）个人所负债务数额较大，到期未清偿的；</w:t>
            </w:r>
          </w:p>
          <w:p>
            <w:pPr>
              <w:pStyle w:val="7"/>
              <w:spacing w:before="11" w:line="249" w:lineRule="auto"/>
              <w:ind w:left="106" w:right="97" w:firstLine="480"/>
              <w:rPr>
                <w:sz w:val="24"/>
              </w:rPr>
            </w:pPr>
            <w:r>
              <w:rPr>
                <w:sz w:val="24"/>
              </w:rPr>
              <w:t>（四）因违法行为被开除的基金管理人、基金托管人、证券交易所、证券公司、证券登记结算机构、期货交易所、期货公司及其他机构的从业人员和国家机关工作人员；</w:t>
            </w:r>
          </w:p>
          <w:p>
            <w:pPr>
              <w:pStyle w:val="7"/>
              <w:spacing w:line="249" w:lineRule="auto"/>
              <w:ind w:left="106" w:right="97" w:firstLine="480"/>
              <w:rPr>
                <w:sz w:val="24"/>
              </w:rPr>
            </w:pPr>
            <w:r>
              <w:rPr>
                <w:sz w:val="24"/>
              </w:rPr>
              <w:t>（五）因违法行为被吊销执业证书或者被取消资格的律师、注册会计师和资产评估机构、验证机构的从业人员、投资咨询从业人员；</w:t>
            </w:r>
          </w:p>
          <w:p>
            <w:pPr>
              <w:pStyle w:val="7"/>
              <w:spacing w:line="306" w:lineRule="exact"/>
              <w:ind w:left="586"/>
              <w:rPr>
                <w:sz w:val="24"/>
              </w:rPr>
            </w:pPr>
            <w:r>
              <w:rPr>
                <w:sz w:val="24"/>
              </w:rPr>
              <w:t>（六）法律、行政法规规定不得从事基金业务的其他人员。</w:t>
            </w:r>
          </w:p>
          <w:p>
            <w:pPr>
              <w:pStyle w:val="7"/>
              <w:numPr>
                <w:ilvl w:val="0"/>
                <w:numId w:val="13"/>
              </w:numPr>
              <w:tabs>
                <w:tab w:val="left" w:pos="831"/>
              </w:tabs>
              <w:spacing w:before="11" w:after="0" w:line="249" w:lineRule="auto"/>
              <w:ind w:left="586" w:right="95" w:firstLine="0"/>
              <w:jc w:val="left"/>
              <w:rPr>
                <w:sz w:val="24"/>
              </w:rPr>
            </w:pPr>
            <w:r>
              <w:rPr>
                <w:b/>
                <w:sz w:val="24"/>
              </w:rPr>
              <w:t>《证券公司董事、监事和高级管理人员任职资格监管办法》（</w:t>
            </w:r>
            <w:r>
              <w:rPr>
                <w:b/>
                <w:spacing w:val="-11"/>
                <w:sz w:val="24"/>
              </w:rPr>
              <w:t xml:space="preserve">证监会令第 </w:t>
            </w:r>
            <w:r>
              <w:rPr>
                <w:b/>
                <w:sz w:val="24"/>
              </w:rPr>
              <w:t>88</w:t>
            </w:r>
            <w:r>
              <w:rPr>
                <w:b/>
                <w:spacing w:val="-32"/>
                <w:sz w:val="24"/>
              </w:rPr>
              <w:t xml:space="preserve"> 号</w:t>
            </w:r>
            <w:r>
              <w:rPr>
                <w:b/>
                <w:sz w:val="24"/>
              </w:rPr>
              <w:t xml:space="preserve">） </w:t>
            </w:r>
            <w:r>
              <w:rPr>
                <w:spacing w:val="-7"/>
                <w:sz w:val="24"/>
              </w:rPr>
              <w:t>第八条 取得证券公司董事、监事、高管人员和分支机构负责人任职资格，应当具备以</w:t>
            </w:r>
          </w:p>
          <w:p>
            <w:pPr>
              <w:pStyle w:val="7"/>
              <w:spacing w:line="306" w:lineRule="exact"/>
              <w:ind w:left="106"/>
              <w:rPr>
                <w:sz w:val="24"/>
              </w:rPr>
            </w:pPr>
            <w:r>
              <w:rPr>
                <w:sz w:val="24"/>
              </w:rPr>
              <w:t>下基本条件：</w:t>
            </w:r>
          </w:p>
          <w:p>
            <w:pPr>
              <w:pStyle w:val="7"/>
              <w:spacing w:before="12"/>
              <w:ind w:left="586"/>
              <w:rPr>
                <w:sz w:val="24"/>
              </w:rPr>
            </w:pPr>
            <w:r>
              <w:rPr>
                <w:sz w:val="24"/>
              </w:rPr>
              <w:t>（一）正直诚实，品行良好；</w:t>
            </w:r>
          </w:p>
          <w:p>
            <w:pPr>
              <w:pStyle w:val="7"/>
              <w:spacing w:before="9" w:line="310" w:lineRule="atLeast"/>
              <w:ind w:left="106" w:right="97" w:firstLine="480"/>
              <w:rPr>
                <w:sz w:val="24"/>
              </w:rPr>
            </w:pPr>
            <w:r>
              <w:rPr>
                <w:sz w:val="24"/>
              </w:rPr>
              <w:t>（二）熟悉证券法律、行政法规、规章以及其他规范性文件，具备履行职责所必需的经营管理能力。</w:t>
            </w:r>
          </w:p>
        </w:tc>
        <w:tc>
          <w:tcPr>
            <w:tcW w:w="1848" w:type="dxa"/>
          </w:tcPr>
          <w:p>
            <w:pPr>
              <w:pStyle w:val="7"/>
              <w:rPr>
                <w:rFonts w:ascii="Times New Roman"/>
                <w:sz w:val="24"/>
              </w:rPr>
            </w:pPr>
          </w:p>
        </w:tc>
      </w:tr>
    </w:tbl>
    <w:p>
      <w:pPr>
        <w:spacing w:after="0"/>
        <w:rPr>
          <w:rFonts w:ascii="Times New Roman"/>
          <w:sz w:val="24"/>
        </w:rPr>
        <w:sectPr>
          <w:footerReference r:id="rId6" w:type="default"/>
          <w:pgSz w:w="16840" w:h="11910" w:orient="landscape"/>
          <w:pgMar w:top="1100" w:right="1240" w:bottom="1100" w:left="1240" w:header="0" w:footer="909" w:gutter="0"/>
          <w:pgNumType w:start="2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trPr>
        <w:tc>
          <w:tcPr>
            <w:tcW w:w="2674" w:type="dxa"/>
          </w:tcPr>
          <w:p>
            <w:pPr>
              <w:pStyle w:val="7"/>
              <w:rPr>
                <w:rFonts w:ascii="Times New Roman"/>
                <w:sz w:val="24"/>
              </w:rPr>
            </w:pPr>
          </w:p>
        </w:tc>
        <w:tc>
          <w:tcPr>
            <w:tcW w:w="9598" w:type="dxa"/>
          </w:tcPr>
          <w:p>
            <w:pPr>
              <w:pStyle w:val="7"/>
              <w:numPr>
                <w:ilvl w:val="0"/>
                <w:numId w:val="14"/>
              </w:numPr>
              <w:tabs>
                <w:tab w:val="left" w:pos="831"/>
              </w:tabs>
              <w:spacing w:before="5" w:after="0" w:line="240" w:lineRule="auto"/>
              <w:ind w:left="830" w:right="0" w:hanging="245"/>
              <w:jc w:val="left"/>
              <w:rPr>
                <w:b/>
                <w:sz w:val="24"/>
              </w:rPr>
            </w:pPr>
            <w:r>
              <w:rPr>
                <w:b/>
                <w:sz w:val="24"/>
              </w:rPr>
              <w:t>《证券投资基金行业高级管理人员任职管理办法》（</w:t>
            </w:r>
            <w:r>
              <w:rPr>
                <w:b/>
                <w:spacing w:val="-11"/>
                <w:sz w:val="24"/>
              </w:rPr>
              <w:t xml:space="preserve">证监会令第 </w:t>
            </w:r>
            <w:r>
              <w:rPr>
                <w:b/>
                <w:sz w:val="24"/>
              </w:rPr>
              <w:t>23</w:t>
            </w:r>
            <w:r>
              <w:rPr>
                <w:b/>
                <w:spacing w:val="-31"/>
                <w:sz w:val="24"/>
              </w:rPr>
              <w:t xml:space="preserve"> 号</w:t>
            </w:r>
            <w:r>
              <w:rPr>
                <w:b/>
                <w:sz w:val="24"/>
              </w:rPr>
              <w:t>）</w:t>
            </w:r>
          </w:p>
          <w:p>
            <w:pPr>
              <w:pStyle w:val="7"/>
              <w:spacing w:before="11" w:line="249" w:lineRule="auto"/>
              <w:ind w:left="106" w:right="95" w:firstLine="480"/>
              <w:rPr>
                <w:sz w:val="24"/>
              </w:rPr>
            </w:pPr>
            <w:r>
              <w:rPr>
                <w:spacing w:val="-6"/>
                <w:sz w:val="24"/>
              </w:rPr>
              <w:t>第四条 高级管理人员应当遵守法律、行政法规和中国证监会的规定，遵守公司章程和</w:t>
            </w:r>
            <w:r>
              <w:rPr>
                <w:sz w:val="24"/>
              </w:rPr>
              <w:t>行业规范，恪守诚信，审慎勤勉，忠实尽责，维护基金份额持有人的合法权益。</w:t>
            </w:r>
          </w:p>
          <w:p>
            <w:pPr>
              <w:pStyle w:val="7"/>
              <w:spacing w:line="306" w:lineRule="exact"/>
              <w:ind w:left="586"/>
              <w:rPr>
                <w:sz w:val="24"/>
              </w:rPr>
            </w:pPr>
            <w:r>
              <w:rPr>
                <w:sz w:val="24"/>
              </w:rPr>
              <w:t>第六条 申请高级管理人员任职资格，应当具备下列条件：</w:t>
            </w:r>
          </w:p>
          <w:p>
            <w:pPr>
              <w:pStyle w:val="7"/>
              <w:spacing w:before="12"/>
              <w:ind w:left="586"/>
              <w:rPr>
                <w:sz w:val="24"/>
              </w:rPr>
            </w:pPr>
            <w:r>
              <w:rPr>
                <w:sz w:val="24"/>
              </w:rPr>
              <w:t>（一）取得基金从业资格；</w:t>
            </w:r>
          </w:p>
          <w:p>
            <w:pPr>
              <w:pStyle w:val="7"/>
              <w:spacing w:before="12"/>
              <w:ind w:left="586"/>
              <w:rPr>
                <w:sz w:val="24"/>
              </w:rPr>
            </w:pPr>
            <w:r>
              <w:rPr>
                <w:sz w:val="24"/>
              </w:rPr>
              <w:t>（二）通过中国证监会或者其授权机构组织的高级管理人员证券投资法律知识考试；</w:t>
            </w:r>
          </w:p>
          <w:p>
            <w:pPr>
              <w:pStyle w:val="7"/>
              <w:spacing w:before="11" w:line="249" w:lineRule="auto"/>
              <w:ind w:left="106" w:right="95" w:firstLine="480"/>
              <w:rPr>
                <w:sz w:val="24"/>
              </w:rPr>
            </w:pPr>
            <w:r>
              <w:rPr>
                <w:sz w:val="24"/>
              </w:rPr>
              <w:t>（三）</w:t>
            </w:r>
            <w:r>
              <w:rPr>
                <w:spacing w:val="-17"/>
                <w:sz w:val="24"/>
              </w:rPr>
              <w:t xml:space="preserve">具有 </w:t>
            </w:r>
            <w:r>
              <w:rPr>
                <w:sz w:val="24"/>
              </w:rPr>
              <w:t>3</w:t>
            </w:r>
            <w:r>
              <w:rPr>
                <w:spacing w:val="-9"/>
                <w:sz w:val="24"/>
              </w:rPr>
              <w:t xml:space="preserve"> 年以上基金、证券、银行等金融相关领域的工作经历及与拟任职务相适</w:t>
            </w:r>
            <w:r>
              <w:rPr>
                <w:sz w:val="24"/>
              </w:rPr>
              <w:t>应的管理经历，督察长还应当具有法律、会计、监察、稽核等工作经历；</w:t>
            </w:r>
          </w:p>
          <w:p>
            <w:pPr>
              <w:pStyle w:val="7"/>
              <w:spacing w:line="249" w:lineRule="auto"/>
              <w:ind w:left="106" w:right="97" w:firstLine="480"/>
              <w:rPr>
                <w:sz w:val="24"/>
              </w:rPr>
            </w:pPr>
            <w:r>
              <w:rPr>
                <w:sz w:val="24"/>
              </w:rPr>
              <w:t>（四）没有《公司法》、《证券投资基金法》等法律、行政法规规定的不得担任公司董事、监事、经理和基金从业人员的情形；</w:t>
            </w:r>
          </w:p>
          <w:p>
            <w:pPr>
              <w:pStyle w:val="7"/>
              <w:spacing w:line="306" w:lineRule="exact"/>
              <w:ind w:left="586"/>
              <w:rPr>
                <w:sz w:val="24"/>
              </w:rPr>
            </w:pPr>
            <w:r>
              <w:rPr>
                <w:sz w:val="24"/>
              </w:rPr>
              <w:t>（五）最近 3 年没有受到证券、银行、工商和税务等行政管理部门的行政处罚。</w:t>
            </w:r>
          </w:p>
          <w:p>
            <w:pPr>
              <w:pStyle w:val="7"/>
              <w:numPr>
                <w:ilvl w:val="0"/>
                <w:numId w:val="14"/>
              </w:numPr>
              <w:tabs>
                <w:tab w:val="left" w:pos="831"/>
              </w:tabs>
              <w:spacing w:before="11" w:after="0" w:line="247" w:lineRule="auto"/>
              <w:ind w:left="106" w:right="66" w:firstLine="480"/>
              <w:jc w:val="left"/>
              <w:rPr>
                <w:b/>
                <w:sz w:val="24"/>
              </w:rPr>
            </w:pPr>
            <w:r>
              <w:rPr>
                <w:b/>
                <w:spacing w:val="-5"/>
                <w:sz w:val="24"/>
              </w:rPr>
              <w:t>《期货公司董事、监事、经理和高级管理人员任职资格管理办法》</w:t>
            </w:r>
            <w:r>
              <w:rPr>
                <w:b/>
                <w:sz w:val="24"/>
              </w:rPr>
              <w:t>（证监会令第 47号）</w:t>
            </w:r>
          </w:p>
          <w:p>
            <w:pPr>
              <w:pStyle w:val="7"/>
              <w:spacing w:before="3"/>
              <w:ind w:left="586"/>
              <w:rPr>
                <w:sz w:val="24"/>
              </w:rPr>
            </w:pPr>
            <w:r>
              <w:rPr>
                <w:sz w:val="24"/>
              </w:rPr>
              <w:t>第六条 申请期货公司董事、监事和高级管理人员的任职资格，应当具有诚实守信的品</w:t>
            </w:r>
          </w:p>
          <w:p>
            <w:pPr>
              <w:pStyle w:val="7"/>
              <w:spacing w:before="11" w:line="294" w:lineRule="exact"/>
              <w:ind w:left="106"/>
              <w:rPr>
                <w:sz w:val="24"/>
              </w:rPr>
            </w:pPr>
            <w:r>
              <w:rPr>
                <w:sz w:val="24"/>
              </w:rPr>
              <w:t>质、良好的职业道德和履行职责所必需的经营管理能力。</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8" w:hRule="atLeast"/>
        </w:trPr>
        <w:tc>
          <w:tcPr>
            <w:tcW w:w="2674" w:type="dxa"/>
          </w:tcPr>
          <w:p>
            <w:pPr>
              <w:pStyle w:val="7"/>
              <w:spacing w:before="5" w:line="249" w:lineRule="auto"/>
              <w:ind w:left="107" w:right="97" w:firstLine="480"/>
              <w:jc w:val="both"/>
              <w:rPr>
                <w:sz w:val="24"/>
              </w:rPr>
            </w:pPr>
            <w:r>
              <w:rPr>
                <w:sz w:val="24"/>
              </w:rPr>
              <w:t>11. 将失信信息作为证券公司、基金管理公司及期货公司的设立及股权或实际控制人变更审批或备案、私募投资基金管理人登记、重大事项变更以及基金备案、相关责任人考核、干部选任等的重要参</w:t>
            </w:r>
          </w:p>
          <w:p>
            <w:pPr>
              <w:pStyle w:val="7"/>
              <w:spacing w:line="285" w:lineRule="exact"/>
              <w:ind w:left="107"/>
              <w:rPr>
                <w:sz w:val="24"/>
              </w:rPr>
            </w:pPr>
            <w:r>
              <w:rPr>
                <w:sz w:val="24"/>
              </w:rPr>
              <w:t>考。</w:t>
            </w:r>
          </w:p>
        </w:tc>
        <w:tc>
          <w:tcPr>
            <w:tcW w:w="9598" w:type="dxa"/>
          </w:tcPr>
          <w:p>
            <w:pPr>
              <w:pStyle w:val="7"/>
              <w:numPr>
                <w:ilvl w:val="0"/>
                <w:numId w:val="15"/>
              </w:numPr>
              <w:tabs>
                <w:tab w:val="left" w:pos="831"/>
              </w:tabs>
              <w:spacing w:before="5" w:after="0" w:line="240" w:lineRule="auto"/>
              <w:ind w:left="830" w:right="0" w:hanging="245"/>
              <w:jc w:val="left"/>
              <w:rPr>
                <w:b/>
                <w:sz w:val="24"/>
              </w:rPr>
            </w:pPr>
            <w:r>
              <w:rPr>
                <w:b/>
                <w:sz w:val="24"/>
              </w:rPr>
              <w:t>《私募投资基金监督管理暂行办法》（</w:t>
            </w:r>
            <w:r>
              <w:rPr>
                <w:b/>
                <w:spacing w:val="-10"/>
                <w:sz w:val="24"/>
              </w:rPr>
              <w:t xml:space="preserve">证监会令第 </w:t>
            </w:r>
            <w:r>
              <w:rPr>
                <w:b/>
                <w:sz w:val="24"/>
              </w:rPr>
              <w:t>105</w:t>
            </w:r>
            <w:r>
              <w:rPr>
                <w:b/>
                <w:spacing w:val="-31"/>
                <w:sz w:val="24"/>
              </w:rPr>
              <w:t xml:space="preserve"> 号</w:t>
            </w:r>
            <w:r>
              <w:rPr>
                <w:b/>
                <w:sz w:val="24"/>
              </w:rPr>
              <w:t>）</w:t>
            </w:r>
          </w:p>
          <w:p>
            <w:pPr>
              <w:pStyle w:val="7"/>
              <w:spacing w:before="12" w:line="249" w:lineRule="auto"/>
              <w:ind w:left="106" w:right="95" w:firstLine="480"/>
              <w:rPr>
                <w:sz w:val="24"/>
              </w:rPr>
            </w:pPr>
            <w:r>
              <w:rPr>
                <w:spacing w:val="-7"/>
                <w:sz w:val="24"/>
              </w:rPr>
              <w:t>第三条 从事私募基金业务，应当遵循自愿、公平、诚实信用原则，维护投资者合法权</w:t>
            </w:r>
            <w:r>
              <w:rPr>
                <w:sz w:val="24"/>
              </w:rPr>
              <w:t>益，不得损害国家利益和社会公共利益。</w:t>
            </w:r>
          </w:p>
          <w:p>
            <w:pPr>
              <w:pStyle w:val="7"/>
              <w:spacing w:line="249" w:lineRule="auto"/>
              <w:ind w:left="106" w:right="1" w:firstLine="480"/>
              <w:rPr>
                <w:sz w:val="24"/>
              </w:rPr>
            </w:pPr>
            <w:r>
              <w:rPr>
                <w:sz w:val="24"/>
              </w:rPr>
              <w:t>第四条 私募基金管理人和从事私募基金托管业务的机构（以下简称私募基金托管人） 管理、运用私募基金财产，从事私募基金销售业务的机构（以下简称私募基金销售机构） 及其他私募服务机构从事私募基金服务活动，应当恪尽职守，履行诚实信用、谨慎勤勉的义务。</w:t>
            </w:r>
          </w:p>
          <w:p>
            <w:pPr>
              <w:pStyle w:val="7"/>
              <w:spacing w:line="305" w:lineRule="exact"/>
              <w:ind w:left="586"/>
              <w:rPr>
                <w:sz w:val="24"/>
              </w:rPr>
            </w:pPr>
            <w:r>
              <w:rPr>
                <w:sz w:val="24"/>
              </w:rPr>
              <w:t>私募基金从业人员应当遵守法律、行政法规，恪守职业道德和行为规范。</w:t>
            </w:r>
          </w:p>
          <w:p>
            <w:pPr>
              <w:pStyle w:val="7"/>
              <w:numPr>
                <w:ilvl w:val="0"/>
                <w:numId w:val="15"/>
              </w:numPr>
              <w:tabs>
                <w:tab w:val="left" w:pos="831"/>
              </w:tabs>
              <w:spacing w:before="10" w:after="0" w:line="240" w:lineRule="auto"/>
              <w:ind w:left="830" w:right="0" w:hanging="245"/>
              <w:jc w:val="left"/>
              <w:rPr>
                <w:b/>
                <w:sz w:val="24"/>
              </w:rPr>
            </w:pPr>
            <w:r>
              <w:rPr>
                <w:b/>
                <w:spacing w:val="-16"/>
                <w:sz w:val="24"/>
              </w:rPr>
              <w:t>《关于实施〈证券投资基金管理公司管理办法〉有关问题的规定</w:t>
            </w:r>
            <w:r>
              <w:rPr>
                <w:b/>
                <w:spacing w:val="-202"/>
                <w:sz w:val="24"/>
              </w:rPr>
              <w:t>》</w:t>
            </w:r>
            <w:r>
              <w:rPr>
                <w:b/>
                <w:sz w:val="24"/>
              </w:rPr>
              <w:t>（</w:t>
            </w:r>
            <w:r>
              <w:rPr>
                <w:b/>
                <w:spacing w:val="-18"/>
                <w:sz w:val="24"/>
              </w:rPr>
              <w:t>证监会公告〔</w:t>
            </w:r>
            <w:r>
              <w:rPr>
                <w:b/>
                <w:sz w:val="24"/>
              </w:rPr>
              <w:t>2012</w:t>
            </w:r>
          </w:p>
          <w:p>
            <w:pPr>
              <w:pStyle w:val="7"/>
              <w:spacing w:before="12" w:line="290" w:lineRule="exact"/>
              <w:ind w:left="106"/>
              <w:rPr>
                <w:b/>
                <w:sz w:val="24"/>
              </w:rPr>
            </w:pPr>
            <w:r>
              <w:rPr>
                <w:b/>
                <w:sz w:val="24"/>
              </w:rPr>
              <w:t>26 号）</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9"/>
              </w:rPr>
            </w:pPr>
          </w:p>
          <w:p>
            <w:pPr>
              <w:pStyle w:val="7"/>
              <w:ind w:left="108"/>
              <w:rPr>
                <w:sz w:val="24"/>
              </w:rPr>
            </w:pPr>
            <w:r>
              <w:rPr>
                <w:sz w:val="24"/>
              </w:rPr>
              <w:t>证监会</w:t>
            </w: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left="-192"/>
              <w:rPr>
                <w:b/>
                <w:sz w:val="24"/>
              </w:rPr>
            </w:pPr>
            <w:r>
              <w:rPr>
                <w:b/>
                <w:w w:val="99"/>
                <w:sz w:val="24"/>
              </w:rPr>
              <w:t>〕</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3" w:hRule="atLeast"/>
        </w:trPr>
        <w:tc>
          <w:tcPr>
            <w:tcW w:w="2674" w:type="dxa"/>
          </w:tcPr>
          <w:p>
            <w:pPr>
              <w:pStyle w:val="7"/>
              <w:rPr>
                <w:rFonts w:ascii="Times New Roman"/>
                <w:sz w:val="24"/>
              </w:rPr>
            </w:pPr>
          </w:p>
        </w:tc>
        <w:tc>
          <w:tcPr>
            <w:tcW w:w="9598" w:type="dxa"/>
          </w:tcPr>
          <w:p>
            <w:pPr>
              <w:pStyle w:val="7"/>
              <w:spacing w:before="5" w:line="249" w:lineRule="auto"/>
              <w:ind w:left="106" w:right="-29" w:firstLine="480"/>
              <w:rPr>
                <w:sz w:val="24"/>
              </w:rPr>
            </w:pPr>
            <w:r>
              <w:rPr>
                <w:sz w:val="24"/>
              </w:rPr>
              <w:t>（九</w:t>
            </w:r>
            <w:r>
              <w:rPr>
                <w:spacing w:val="-39"/>
                <w:sz w:val="24"/>
              </w:rPr>
              <w:t>）</w:t>
            </w:r>
            <w:r>
              <w:rPr>
                <w:spacing w:val="-12"/>
                <w:sz w:val="24"/>
              </w:rPr>
              <w:t xml:space="preserve">基金管理公司按照《办法》第六十五条第一款的规定“变更持股 </w:t>
            </w:r>
            <w:r>
              <w:rPr>
                <w:sz w:val="24"/>
              </w:rPr>
              <w:t>5%</w:t>
            </w:r>
            <w:r>
              <w:rPr>
                <w:spacing w:val="-2"/>
                <w:sz w:val="24"/>
              </w:rPr>
              <w:t xml:space="preserve">以下的股东” </w:t>
            </w:r>
            <w:r>
              <w:rPr>
                <w:spacing w:val="-3"/>
                <w:sz w:val="24"/>
              </w:rPr>
              <w:t xml:space="preserve">的，入股股东应当具有良好的社会信誉，最近 </w:t>
            </w:r>
            <w:r>
              <w:rPr>
                <w:sz w:val="24"/>
              </w:rPr>
              <w:t>3</w:t>
            </w:r>
            <w:r>
              <w:rPr>
                <w:spacing w:val="-8"/>
                <w:sz w:val="24"/>
              </w:rPr>
              <w:t xml:space="preserve"> 年在金融监管、税务、工商等行政机关， 以及自律管理、商业银行等机构无不良记录；没有因违法违规行为正在被监管机构调查，</w:t>
            </w:r>
            <w:r>
              <w:rPr>
                <w:spacing w:val="-12"/>
                <w:sz w:val="24"/>
              </w:rPr>
              <w:t xml:space="preserve">或者正处于整改期间；最近 </w:t>
            </w:r>
            <w:r>
              <w:rPr>
                <w:sz w:val="24"/>
              </w:rPr>
              <w:t>3</w:t>
            </w:r>
            <w:r>
              <w:rPr>
                <w:spacing w:val="-8"/>
                <w:sz w:val="24"/>
              </w:rPr>
              <w:t xml:space="preserve"> 年没有因违法违规行为受到行政处罚或者刑事处罚；不存在</w:t>
            </w:r>
            <w:r>
              <w:rPr>
                <w:spacing w:val="-5"/>
                <w:sz w:val="24"/>
              </w:rPr>
              <w:t xml:space="preserve">被判处刑罚、执行期满未逾 </w:t>
            </w:r>
            <w:r>
              <w:rPr>
                <w:sz w:val="24"/>
              </w:rPr>
              <w:t>3</w:t>
            </w:r>
            <w:r>
              <w:rPr>
                <w:spacing w:val="-9"/>
                <w:sz w:val="24"/>
              </w:rPr>
              <w:t xml:space="preserve"> 年的情形。其入股行为应当已经履行法定程序，包括基金管</w:t>
            </w:r>
            <w:r>
              <w:rPr>
                <w:spacing w:val="-1"/>
                <w:sz w:val="24"/>
              </w:rPr>
              <w:t>理公司、股权受让方和出让方已经履行相应内部决策程序和应当报经有关部门批准或者备</w:t>
            </w:r>
            <w:r>
              <w:rPr>
                <w:sz w:val="24"/>
              </w:rPr>
              <w:t>案等程序。</w:t>
            </w:r>
          </w:p>
          <w:p>
            <w:pPr>
              <w:pStyle w:val="7"/>
              <w:spacing w:line="306" w:lineRule="exact"/>
              <w:ind w:left="586"/>
              <w:rPr>
                <w:b/>
                <w:sz w:val="24"/>
              </w:rPr>
            </w:pPr>
            <w:r>
              <w:rPr>
                <w:b/>
                <w:sz w:val="24"/>
              </w:rPr>
              <w:t>3.《国务院关于管理公开募集基金的基金管理公司有关问题的批复》（国函〔2013〕</w:t>
            </w:r>
          </w:p>
          <w:p>
            <w:pPr>
              <w:pStyle w:val="7"/>
              <w:spacing w:before="9"/>
              <w:ind w:left="106"/>
              <w:rPr>
                <w:b/>
                <w:sz w:val="24"/>
              </w:rPr>
            </w:pPr>
            <w:r>
              <w:rPr>
                <w:b/>
                <w:sz w:val="24"/>
              </w:rPr>
              <w:t>132 号）</w:t>
            </w:r>
          </w:p>
          <w:p>
            <w:pPr>
              <w:pStyle w:val="7"/>
              <w:spacing w:before="12" w:line="249" w:lineRule="auto"/>
              <w:ind w:left="106" w:right="97" w:firstLine="480"/>
              <w:rPr>
                <w:sz w:val="24"/>
              </w:rPr>
            </w:pPr>
            <w:r>
              <w:rPr>
                <w:sz w:val="24"/>
              </w:rPr>
              <w:t>四、根据《中华人民共和国证券投资基金法》第十三条规定，国务院同意你会对不得成为基金管理公司实际控制人的情形作如下规定：</w:t>
            </w:r>
          </w:p>
          <w:p>
            <w:pPr>
              <w:pStyle w:val="7"/>
              <w:spacing w:line="306" w:lineRule="exact"/>
              <w:ind w:left="586"/>
              <w:rPr>
                <w:sz w:val="24"/>
              </w:rPr>
            </w:pPr>
            <w:r>
              <w:rPr>
                <w:sz w:val="24"/>
              </w:rPr>
              <w:t>（一）因故意犯罪被判处刑罚，刑罚执行完毕未逾 3 年；</w:t>
            </w:r>
          </w:p>
          <w:p>
            <w:pPr>
              <w:pStyle w:val="7"/>
              <w:spacing w:before="9"/>
              <w:ind w:left="586"/>
              <w:rPr>
                <w:sz w:val="24"/>
              </w:rPr>
            </w:pPr>
            <w:r>
              <w:rPr>
                <w:sz w:val="24"/>
              </w:rPr>
              <w:t>（二）净资产低于实收资本的 50%，或者或有负债达到净资产的 50%；</w:t>
            </w:r>
          </w:p>
          <w:p>
            <w:pPr>
              <w:pStyle w:val="7"/>
              <w:spacing w:before="12" w:line="249" w:lineRule="auto"/>
              <w:ind w:left="586" w:right="5867"/>
              <w:rPr>
                <w:b/>
                <w:sz w:val="24"/>
              </w:rPr>
            </w:pPr>
            <w:r>
              <w:rPr>
                <w:sz w:val="24"/>
              </w:rPr>
              <w:t xml:space="preserve">（三）不能清偿到期债务。 </w:t>
            </w:r>
            <w:r>
              <w:rPr>
                <w:b/>
                <w:sz w:val="24"/>
              </w:rPr>
              <w:t>4</w:t>
            </w:r>
            <w:r>
              <w:rPr>
                <w:b/>
                <w:spacing w:val="-2"/>
                <w:sz w:val="24"/>
              </w:rPr>
              <w:t>.《中华人民共和国证券法》</w:t>
            </w:r>
          </w:p>
          <w:p>
            <w:pPr>
              <w:pStyle w:val="7"/>
              <w:spacing w:line="306" w:lineRule="exact"/>
              <w:ind w:left="586"/>
              <w:rPr>
                <w:sz w:val="24"/>
              </w:rPr>
            </w:pPr>
            <w:r>
              <w:rPr>
                <w:sz w:val="24"/>
              </w:rPr>
              <w:t>第一百二十四条 设立证券公司，应当具备下列条件：</w:t>
            </w:r>
          </w:p>
          <w:p>
            <w:pPr>
              <w:pStyle w:val="7"/>
              <w:spacing w:before="11"/>
              <w:ind w:left="586"/>
              <w:rPr>
                <w:sz w:val="24"/>
              </w:rPr>
            </w:pPr>
            <w:r>
              <w:rPr>
                <w:sz w:val="24"/>
              </w:rPr>
              <w:t>（一）有符合法律、行政法规规定的公司章程；</w:t>
            </w:r>
          </w:p>
          <w:p>
            <w:pPr>
              <w:pStyle w:val="7"/>
              <w:spacing w:before="12" w:line="249" w:lineRule="auto"/>
              <w:ind w:left="106" w:right="97" w:firstLine="480"/>
              <w:rPr>
                <w:sz w:val="24"/>
              </w:rPr>
            </w:pPr>
            <w:r>
              <w:rPr>
                <w:sz w:val="24"/>
              </w:rPr>
              <w:t>（二）主要股东具有持续盈利能力，信誉良好，最近三年无重大违法违规记录，净资产不低于人民币二亿元；</w:t>
            </w:r>
          </w:p>
          <w:p>
            <w:pPr>
              <w:pStyle w:val="7"/>
              <w:spacing w:line="306" w:lineRule="exact"/>
              <w:ind w:left="586"/>
              <w:rPr>
                <w:sz w:val="24"/>
              </w:rPr>
            </w:pPr>
            <w:r>
              <w:rPr>
                <w:sz w:val="24"/>
              </w:rPr>
              <w:t>（三）有符合本法规定的注册资本；</w:t>
            </w:r>
          </w:p>
          <w:p>
            <w:pPr>
              <w:pStyle w:val="7"/>
              <w:spacing w:before="12"/>
              <w:ind w:left="586"/>
              <w:rPr>
                <w:sz w:val="24"/>
              </w:rPr>
            </w:pPr>
            <w:r>
              <w:rPr>
                <w:sz w:val="24"/>
              </w:rPr>
              <w:t>（四）董事、监事、高级管理人员具备任职资格，从业人员具有证券从业资格；</w:t>
            </w:r>
          </w:p>
          <w:p>
            <w:pPr>
              <w:pStyle w:val="7"/>
              <w:spacing w:before="12"/>
              <w:ind w:left="586"/>
              <w:rPr>
                <w:sz w:val="24"/>
              </w:rPr>
            </w:pPr>
            <w:r>
              <w:rPr>
                <w:sz w:val="24"/>
              </w:rPr>
              <w:t>（五）有完善的风险管理与内部控制制度；</w:t>
            </w:r>
          </w:p>
          <w:p>
            <w:pPr>
              <w:pStyle w:val="7"/>
              <w:spacing w:before="11"/>
              <w:ind w:left="586"/>
              <w:rPr>
                <w:sz w:val="24"/>
              </w:rPr>
            </w:pPr>
            <w:r>
              <w:rPr>
                <w:sz w:val="24"/>
              </w:rPr>
              <w:t>（六）有合格的经营场所和业务设施；</w:t>
            </w:r>
          </w:p>
          <w:p>
            <w:pPr>
              <w:pStyle w:val="7"/>
              <w:spacing w:before="9" w:line="310" w:lineRule="atLeast"/>
              <w:ind w:left="106" w:right="97" w:firstLine="480"/>
              <w:rPr>
                <w:sz w:val="24"/>
              </w:rPr>
            </w:pPr>
            <w:r>
              <w:rPr>
                <w:sz w:val="24"/>
              </w:rPr>
              <w:t>（七）法律、行政法规规定的和经国务院批准的国务院证券监督管理机构规定的其他条件。</w:t>
            </w:r>
          </w:p>
        </w:tc>
        <w:tc>
          <w:tcPr>
            <w:tcW w:w="1848" w:type="dxa"/>
          </w:tcPr>
          <w:p>
            <w:pPr>
              <w:pStyle w:val="7"/>
              <w:rPr>
                <w:rFonts w:ascii="Times New Roman"/>
                <w:sz w:val="24"/>
              </w:rPr>
            </w:pPr>
          </w:p>
        </w:tc>
      </w:tr>
    </w:tbl>
    <w:p>
      <w:pPr>
        <w:spacing w:after="0"/>
        <w:rPr>
          <w:rFonts w:ascii="Times New Roman"/>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8" w:hRule="atLeast"/>
        </w:trPr>
        <w:tc>
          <w:tcPr>
            <w:tcW w:w="2674" w:type="dxa"/>
          </w:tcPr>
          <w:p>
            <w:pPr>
              <w:pStyle w:val="7"/>
              <w:rPr>
                <w:rFonts w:ascii="Times New Roman"/>
                <w:sz w:val="24"/>
              </w:rPr>
            </w:pPr>
          </w:p>
        </w:tc>
        <w:tc>
          <w:tcPr>
            <w:tcW w:w="9598" w:type="dxa"/>
          </w:tcPr>
          <w:p>
            <w:pPr>
              <w:pStyle w:val="7"/>
              <w:spacing w:before="5"/>
              <w:ind w:left="586"/>
              <w:rPr>
                <w:b/>
                <w:sz w:val="24"/>
              </w:rPr>
            </w:pPr>
            <w:r>
              <w:rPr>
                <w:b/>
                <w:sz w:val="24"/>
              </w:rPr>
              <w:t>5.《期货交易管理条例》</w:t>
            </w:r>
          </w:p>
          <w:p>
            <w:pPr>
              <w:pStyle w:val="7"/>
              <w:spacing w:before="11" w:line="249" w:lineRule="auto"/>
              <w:ind w:left="106" w:right="95" w:firstLine="480"/>
              <w:rPr>
                <w:sz w:val="24"/>
              </w:rPr>
            </w:pPr>
            <w:r>
              <w:rPr>
                <w:spacing w:val="-7"/>
                <w:sz w:val="24"/>
              </w:rPr>
              <w:t>第十六条 申请设立期货公司，应当符合《中华人民共和国公司法》的规定，并具备下</w:t>
            </w:r>
            <w:r>
              <w:rPr>
                <w:sz w:val="24"/>
              </w:rPr>
              <w:t>列条件：</w:t>
            </w:r>
          </w:p>
          <w:p>
            <w:pPr>
              <w:pStyle w:val="7"/>
              <w:spacing w:line="306" w:lineRule="exact"/>
              <w:ind w:left="586"/>
              <w:rPr>
                <w:sz w:val="24"/>
              </w:rPr>
            </w:pPr>
            <w:r>
              <w:rPr>
                <w:sz w:val="24"/>
              </w:rPr>
              <w:t>（一）注册资本最低限额为人民币 3000 万元；</w:t>
            </w:r>
          </w:p>
          <w:p>
            <w:pPr>
              <w:pStyle w:val="7"/>
              <w:spacing w:before="12"/>
              <w:ind w:left="586"/>
              <w:rPr>
                <w:sz w:val="24"/>
              </w:rPr>
            </w:pPr>
            <w:r>
              <w:rPr>
                <w:sz w:val="24"/>
              </w:rPr>
              <w:t>（二）董事、监事、高级管理人员具备任职条件，从业人员具有期货从业资格；</w:t>
            </w:r>
          </w:p>
          <w:p>
            <w:pPr>
              <w:pStyle w:val="7"/>
              <w:spacing w:before="12"/>
              <w:ind w:left="586"/>
              <w:rPr>
                <w:sz w:val="24"/>
              </w:rPr>
            </w:pPr>
            <w:r>
              <w:rPr>
                <w:sz w:val="24"/>
              </w:rPr>
              <w:t>（三）有符合法律、行政法规规定的公司章程；</w:t>
            </w:r>
          </w:p>
          <w:p>
            <w:pPr>
              <w:pStyle w:val="7"/>
              <w:spacing w:before="11" w:line="249" w:lineRule="auto"/>
              <w:ind w:left="106" w:right="97" w:firstLine="480"/>
              <w:rPr>
                <w:sz w:val="24"/>
              </w:rPr>
            </w:pPr>
            <w:r>
              <w:rPr>
                <w:sz w:val="24"/>
              </w:rPr>
              <w:t>（四）</w:t>
            </w:r>
            <w:r>
              <w:rPr>
                <w:spacing w:val="-2"/>
                <w:sz w:val="24"/>
              </w:rPr>
              <w:t xml:space="preserve">主要股东以及实际控制人具有持续盈利能力，信誉良好，最近 </w:t>
            </w:r>
            <w:r>
              <w:rPr>
                <w:sz w:val="24"/>
              </w:rPr>
              <w:t>3</w:t>
            </w:r>
            <w:r>
              <w:rPr>
                <w:spacing w:val="-11"/>
                <w:sz w:val="24"/>
              </w:rPr>
              <w:t xml:space="preserve"> 年无重大违法</w:t>
            </w:r>
            <w:r>
              <w:rPr>
                <w:sz w:val="24"/>
              </w:rPr>
              <w:t>违规记录；</w:t>
            </w:r>
          </w:p>
          <w:p>
            <w:pPr>
              <w:pStyle w:val="7"/>
              <w:spacing w:line="306" w:lineRule="exact"/>
              <w:ind w:left="586"/>
              <w:rPr>
                <w:sz w:val="24"/>
              </w:rPr>
            </w:pPr>
            <w:r>
              <w:rPr>
                <w:sz w:val="24"/>
              </w:rPr>
              <w:t>（五）有合格的经营场所和业务设施；</w:t>
            </w:r>
          </w:p>
          <w:p>
            <w:pPr>
              <w:pStyle w:val="7"/>
              <w:spacing w:before="12"/>
              <w:ind w:left="586"/>
              <w:rPr>
                <w:sz w:val="24"/>
              </w:rPr>
            </w:pPr>
            <w:r>
              <w:rPr>
                <w:sz w:val="24"/>
              </w:rPr>
              <w:t>（六）有健全的风险管理和内部控制制度；</w:t>
            </w:r>
          </w:p>
          <w:p>
            <w:pPr>
              <w:pStyle w:val="7"/>
              <w:spacing w:before="12"/>
              <w:ind w:left="586"/>
              <w:rPr>
                <w:sz w:val="24"/>
              </w:rPr>
            </w:pPr>
            <w:r>
              <w:rPr>
                <w:sz w:val="24"/>
              </w:rPr>
              <w:t>（七）国务院期货监督管理机构规定的其他条件。</w:t>
            </w:r>
          </w:p>
          <w:p>
            <w:pPr>
              <w:pStyle w:val="7"/>
              <w:spacing w:before="12" w:line="292" w:lineRule="exact"/>
              <w:rPr>
                <w:sz w:val="24"/>
              </w:rPr>
            </w:pP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5"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7" w:line="249" w:lineRule="auto"/>
              <w:ind w:left="107" w:right="97" w:firstLine="480"/>
              <w:jc w:val="both"/>
              <w:rPr>
                <w:sz w:val="24"/>
              </w:rPr>
            </w:pPr>
            <w:r>
              <w:rPr>
                <w:sz w:val="24"/>
              </w:rPr>
              <w:t>12. 将失信信息作为境内上市公司实行股权激励计划相关人员成为股权激励对象事中事后监管的参考。</w:t>
            </w:r>
          </w:p>
        </w:tc>
        <w:tc>
          <w:tcPr>
            <w:tcW w:w="9598" w:type="dxa"/>
          </w:tcPr>
          <w:p>
            <w:pPr>
              <w:pStyle w:val="7"/>
              <w:spacing w:before="7"/>
              <w:ind w:left="586"/>
              <w:rPr>
                <w:b/>
                <w:sz w:val="24"/>
              </w:rPr>
            </w:pPr>
            <w:r>
              <w:rPr>
                <w:b/>
                <w:sz w:val="24"/>
              </w:rPr>
              <w:t>《上市公司股权激励管理办法》（证监会令第 126 号）</w:t>
            </w:r>
          </w:p>
          <w:p>
            <w:pPr>
              <w:pStyle w:val="7"/>
              <w:spacing w:before="11"/>
              <w:ind w:left="586"/>
              <w:rPr>
                <w:sz w:val="24"/>
              </w:rPr>
            </w:pPr>
            <w:r>
              <w:rPr>
                <w:sz w:val="24"/>
              </w:rPr>
              <w:t>第七条 上市公司具有下列情形之一的，不得实行股权激励：</w:t>
            </w:r>
          </w:p>
          <w:p>
            <w:pPr>
              <w:pStyle w:val="7"/>
              <w:spacing w:before="10" w:line="249" w:lineRule="auto"/>
              <w:ind w:left="106" w:right="95" w:firstLine="480"/>
              <w:rPr>
                <w:sz w:val="24"/>
              </w:rPr>
            </w:pPr>
            <w:r>
              <w:rPr>
                <w:sz w:val="24"/>
              </w:rPr>
              <w:t>（一）最近一个会计年度财务会计报告被注册会计师 出具否定意见或者无法表示意见的审计报告；</w:t>
            </w:r>
          </w:p>
          <w:p>
            <w:pPr>
              <w:pStyle w:val="7"/>
              <w:spacing w:line="249" w:lineRule="auto"/>
              <w:ind w:left="106" w:right="95" w:firstLine="480"/>
              <w:rPr>
                <w:sz w:val="24"/>
              </w:rPr>
            </w:pPr>
            <w:r>
              <w:rPr>
                <w:sz w:val="24"/>
              </w:rPr>
              <w:t>（二）最近一个会计年度财务报告内部控制被注册会 计师出具否定意见或无法表示意见的审计报告；</w:t>
            </w:r>
          </w:p>
          <w:p>
            <w:pPr>
              <w:pStyle w:val="7"/>
              <w:spacing w:line="249" w:lineRule="auto"/>
              <w:ind w:left="106" w:right="95" w:firstLine="480"/>
              <w:rPr>
                <w:sz w:val="24"/>
              </w:rPr>
            </w:pPr>
            <w:r>
              <w:rPr>
                <w:sz w:val="24"/>
              </w:rPr>
              <w:t>（三）上市后最近 36</w:t>
            </w:r>
            <w:r>
              <w:rPr>
                <w:spacing w:val="-8"/>
                <w:sz w:val="24"/>
              </w:rPr>
              <w:t xml:space="preserve"> 个月内出现过未按法律法规、公 司章程、公开承诺进行利润分</w:t>
            </w:r>
            <w:r>
              <w:rPr>
                <w:sz w:val="24"/>
              </w:rPr>
              <w:t>配的情形；</w:t>
            </w:r>
          </w:p>
          <w:p>
            <w:pPr>
              <w:pStyle w:val="7"/>
              <w:spacing w:line="306" w:lineRule="exact"/>
              <w:ind w:left="586"/>
              <w:rPr>
                <w:sz w:val="24"/>
              </w:rPr>
            </w:pPr>
            <w:r>
              <w:rPr>
                <w:sz w:val="24"/>
              </w:rPr>
              <w:t>（四）法律法规规定不得实行股权激励的；</w:t>
            </w:r>
          </w:p>
          <w:p>
            <w:pPr>
              <w:pStyle w:val="7"/>
              <w:spacing w:before="9"/>
              <w:ind w:left="586"/>
              <w:rPr>
                <w:sz w:val="24"/>
              </w:rPr>
            </w:pPr>
            <w:r>
              <w:rPr>
                <w:sz w:val="24"/>
              </w:rPr>
              <w:t>（五）中国证监会认定的其他情形。</w:t>
            </w:r>
          </w:p>
          <w:p>
            <w:pPr>
              <w:pStyle w:val="7"/>
              <w:spacing w:line="320" w:lineRule="atLeast"/>
              <w:ind w:left="106" w:right="-29" w:firstLine="480"/>
              <w:rPr>
                <w:sz w:val="24"/>
              </w:rPr>
            </w:pPr>
            <w:r>
              <w:rPr>
                <w:sz w:val="24"/>
              </w:rPr>
              <w:t xml:space="preserve">第八条 激励对象可以包括上市公司的董事、高级管理 人员、核心技术人员或者核心业务人员，以及公司认为应当 激励的对公司经营业绩和未来发展有直接影响的其他员工， </w:t>
            </w:r>
            <w:r>
              <w:rPr>
                <w:spacing w:val="-7"/>
                <w:sz w:val="24"/>
              </w:rPr>
              <w:t>但不应当包括独立董事和监事。在境内工作的外籍员工任职上市公司董事、高级管理人员、</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before="1"/>
              <w:ind w:left="108"/>
              <w:rPr>
                <w:sz w:val="24"/>
              </w:rPr>
            </w:pPr>
            <w:r>
              <w:rPr>
                <w:sz w:val="24"/>
              </w:rPr>
              <w:t>证监会</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trPr>
        <w:tc>
          <w:tcPr>
            <w:tcW w:w="2674" w:type="dxa"/>
          </w:tcPr>
          <w:p>
            <w:pPr>
              <w:pStyle w:val="7"/>
              <w:rPr>
                <w:rFonts w:ascii="Times New Roman"/>
                <w:sz w:val="24"/>
              </w:rPr>
            </w:pPr>
          </w:p>
        </w:tc>
        <w:tc>
          <w:tcPr>
            <w:tcW w:w="9598" w:type="dxa"/>
          </w:tcPr>
          <w:p>
            <w:pPr>
              <w:pStyle w:val="7"/>
              <w:spacing w:before="5"/>
              <w:ind w:left="106"/>
              <w:rPr>
                <w:sz w:val="24"/>
              </w:rPr>
            </w:pPr>
            <w:r>
              <w:rPr>
                <w:sz w:val="24"/>
              </w:rPr>
              <w:t>核心技术人员或者核心业务人员的，可以成为激励对象。</w:t>
            </w:r>
          </w:p>
          <w:p>
            <w:pPr>
              <w:pStyle w:val="7"/>
              <w:spacing w:before="11" w:line="249" w:lineRule="auto"/>
              <w:ind w:left="106" w:right="95" w:firstLine="480"/>
              <w:rPr>
                <w:sz w:val="24"/>
              </w:rPr>
            </w:pPr>
            <w:r>
              <w:rPr>
                <w:sz w:val="24"/>
              </w:rPr>
              <w:t>单独或合计持有上市公司 5%</w:t>
            </w:r>
            <w:r>
              <w:rPr>
                <w:spacing w:val="-7"/>
                <w:sz w:val="24"/>
              </w:rPr>
              <w:t>以上股份的股东或实际控制人及其配偶、父母、子女，不</w:t>
            </w:r>
            <w:r>
              <w:rPr>
                <w:sz w:val="24"/>
              </w:rPr>
              <w:t>得成为激励对象。下列人员也不得成为激励对象：</w:t>
            </w:r>
          </w:p>
          <w:p>
            <w:pPr>
              <w:pStyle w:val="7"/>
              <w:spacing w:line="306" w:lineRule="exact"/>
              <w:ind w:left="586"/>
              <w:rPr>
                <w:sz w:val="24"/>
              </w:rPr>
            </w:pPr>
            <w:r>
              <w:rPr>
                <w:sz w:val="24"/>
              </w:rPr>
              <w:t>（一）最近 12 个月内被证券交易所认定为不适当人选；</w:t>
            </w:r>
          </w:p>
          <w:p>
            <w:pPr>
              <w:pStyle w:val="7"/>
              <w:spacing w:before="12"/>
              <w:ind w:left="586"/>
              <w:rPr>
                <w:sz w:val="24"/>
              </w:rPr>
            </w:pPr>
            <w:r>
              <w:rPr>
                <w:sz w:val="24"/>
              </w:rPr>
              <w:t>（二）最近 12 个月内被中国证监会及其派出机构认定为不适当人选；</w:t>
            </w:r>
          </w:p>
          <w:p>
            <w:pPr>
              <w:pStyle w:val="7"/>
              <w:spacing w:before="12" w:line="249" w:lineRule="auto"/>
              <w:ind w:left="106" w:right="97" w:firstLine="480"/>
              <w:rPr>
                <w:sz w:val="24"/>
              </w:rPr>
            </w:pPr>
            <w:r>
              <w:rPr>
                <w:sz w:val="24"/>
              </w:rPr>
              <w:t>（三）</w:t>
            </w:r>
            <w:r>
              <w:rPr>
                <w:spacing w:val="-19"/>
                <w:sz w:val="24"/>
              </w:rPr>
              <w:t xml:space="preserve">最近 </w:t>
            </w:r>
            <w:r>
              <w:rPr>
                <w:sz w:val="24"/>
              </w:rPr>
              <w:t>12</w:t>
            </w:r>
            <w:r>
              <w:rPr>
                <w:spacing w:val="-9"/>
                <w:sz w:val="24"/>
              </w:rPr>
              <w:t xml:space="preserve"> 个月内因重大违法违规行为被中国证监 会及其派出机构行政处罚或者</w:t>
            </w:r>
            <w:r>
              <w:rPr>
                <w:sz w:val="24"/>
              </w:rPr>
              <w:t>采取市场禁入措施；</w:t>
            </w:r>
          </w:p>
          <w:p>
            <w:pPr>
              <w:pStyle w:val="7"/>
              <w:spacing w:line="306" w:lineRule="exact"/>
              <w:ind w:left="586"/>
              <w:rPr>
                <w:sz w:val="24"/>
              </w:rPr>
            </w:pPr>
            <w:r>
              <w:rPr>
                <w:sz w:val="24"/>
              </w:rPr>
              <w:t>（四）具有《公司法》规定的不得担任公司董事、高级管理人员情形的；</w:t>
            </w:r>
          </w:p>
          <w:p>
            <w:pPr>
              <w:pStyle w:val="7"/>
              <w:spacing w:before="12"/>
              <w:ind w:left="586"/>
              <w:rPr>
                <w:sz w:val="24"/>
              </w:rPr>
            </w:pPr>
            <w:r>
              <w:rPr>
                <w:sz w:val="24"/>
              </w:rPr>
              <w:t>（五）法律法规规定不得参与上市公司股权激励的；</w:t>
            </w:r>
          </w:p>
          <w:p>
            <w:pPr>
              <w:pStyle w:val="7"/>
              <w:spacing w:before="11" w:line="292" w:lineRule="exact"/>
              <w:ind w:left="586"/>
              <w:rPr>
                <w:sz w:val="24"/>
              </w:rPr>
            </w:pPr>
            <w:r>
              <w:rPr>
                <w:sz w:val="24"/>
              </w:rPr>
              <w:t>（六）中国证监会认定的其他情形。</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2674" w:type="dxa"/>
          </w:tcPr>
          <w:p>
            <w:pPr>
              <w:pStyle w:val="7"/>
              <w:rPr>
                <w:rFonts w:ascii="Times New Roman"/>
                <w:sz w:val="24"/>
              </w:rPr>
            </w:pPr>
          </w:p>
          <w:p>
            <w:pPr>
              <w:pStyle w:val="7"/>
              <w:rPr>
                <w:rFonts w:ascii="Times New Roman"/>
                <w:sz w:val="24"/>
              </w:rPr>
            </w:pPr>
          </w:p>
          <w:p>
            <w:pPr>
              <w:pStyle w:val="7"/>
              <w:spacing w:before="9"/>
              <w:rPr>
                <w:rFonts w:ascii="Times New Roman"/>
                <w:sz w:val="21"/>
              </w:rPr>
            </w:pPr>
          </w:p>
          <w:p>
            <w:pPr>
              <w:pStyle w:val="7"/>
              <w:spacing w:before="1" w:line="249" w:lineRule="auto"/>
              <w:ind w:left="107" w:right="97" w:firstLine="480"/>
              <w:jc w:val="both"/>
              <w:rPr>
                <w:sz w:val="24"/>
              </w:rPr>
            </w:pPr>
            <w:r>
              <w:rPr>
                <w:sz w:val="24"/>
              </w:rPr>
              <w:t>13. 将失信信息作为纳税信用管理的审慎性参考。</w:t>
            </w:r>
          </w:p>
        </w:tc>
        <w:tc>
          <w:tcPr>
            <w:tcW w:w="9598" w:type="dxa"/>
          </w:tcPr>
          <w:p>
            <w:pPr>
              <w:pStyle w:val="7"/>
              <w:spacing w:before="6"/>
              <w:ind w:left="466"/>
              <w:rPr>
                <w:b/>
                <w:sz w:val="24"/>
              </w:rPr>
            </w:pPr>
            <w:r>
              <w:rPr>
                <w:b/>
                <w:sz w:val="24"/>
              </w:rPr>
              <w:t>《纳税信用管理办法（试行）》（国家税务总局公告 2014 年第 40 号）</w:t>
            </w:r>
          </w:p>
          <w:p>
            <w:pPr>
              <w:pStyle w:val="7"/>
              <w:spacing w:before="12"/>
              <w:ind w:left="586"/>
              <w:rPr>
                <w:sz w:val="24"/>
              </w:rPr>
            </w:pPr>
            <w:r>
              <w:rPr>
                <w:sz w:val="24"/>
              </w:rPr>
              <w:t>第十条 纳税信用信息包括纳税人信用历史信息、税务内部信息、外部信息。</w:t>
            </w:r>
          </w:p>
          <w:p>
            <w:pPr>
              <w:pStyle w:val="7"/>
              <w:spacing w:before="12" w:line="249" w:lineRule="auto"/>
              <w:ind w:left="106" w:right="97" w:firstLine="480"/>
              <w:rPr>
                <w:sz w:val="24"/>
              </w:rPr>
            </w:pPr>
            <w:r>
              <w:rPr>
                <w:sz w:val="24"/>
              </w:rPr>
              <w:t>纳税人信用历史信息包括基本信息和评价年度之前的纳税信用记录，以及相关部门评定的优良信用记录和不良信用记录。</w:t>
            </w:r>
          </w:p>
          <w:p>
            <w:pPr>
              <w:pStyle w:val="7"/>
              <w:spacing w:line="320" w:lineRule="atLeast"/>
              <w:ind w:left="106" w:right="97" w:firstLine="480"/>
              <w:jc w:val="both"/>
              <w:rPr>
                <w:sz w:val="24"/>
              </w:rPr>
            </w:pPr>
            <w:r>
              <w:rPr>
                <w:sz w:val="24"/>
              </w:rPr>
              <w:t>外部信息包括外部参考信息和外部评价信息。外部参考信息包括评价年度相关部门评定的优良信用记录和不良信用记录；外部评价信息是指从相关部门取得的影响纳税人纳税信用评价的指标信息。</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5"/>
              </w:rPr>
            </w:pPr>
          </w:p>
          <w:p>
            <w:pPr>
              <w:pStyle w:val="7"/>
              <w:ind w:left="108"/>
              <w:rPr>
                <w:sz w:val="24"/>
              </w:rPr>
            </w:pPr>
            <w:r>
              <w:rPr>
                <w:sz w:val="24"/>
              </w:rPr>
              <w:t>税务总局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2674" w:type="dxa"/>
          </w:tcPr>
          <w:p>
            <w:pPr>
              <w:pStyle w:val="7"/>
              <w:spacing w:before="135" w:line="249" w:lineRule="auto"/>
              <w:ind w:left="107" w:right="97" w:firstLine="480"/>
              <w:jc w:val="both"/>
              <w:rPr>
                <w:sz w:val="24"/>
              </w:rPr>
            </w:pPr>
            <w:r>
              <w:rPr>
                <w:sz w:val="24"/>
              </w:rPr>
              <w:t>14. 加大进出口货物监管力度，加强布控查验、后续稽查或统计监督核查。对申请适用海关认证企业管理的， 不予通过认证；已经成为认证企业的，按照规</w:t>
            </w:r>
          </w:p>
        </w:tc>
        <w:tc>
          <w:tcPr>
            <w:tcW w:w="9598" w:type="dxa"/>
          </w:tcPr>
          <w:p>
            <w:pPr>
              <w:pStyle w:val="7"/>
              <w:spacing w:before="3"/>
              <w:ind w:left="586"/>
              <w:rPr>
                <w:b/>
                <w:sz w:val="24"/>
              </w:rPr>
            </w:pPr>
            <w:r>
              <w:rPr>
                <w:b/>
                <w:sz w:val="24"/>
              </w:rPr>
              <w:t>《中华人民共和国海关企业信用管理办法》（海关总署令 237 号）</w:t>
            </w:r>
          </w:p>
          <w:p>
            <w:pPr>
              <w:pStyle w:val="7"/>
              <w:tabs>
                <w:tab w:val="left" w:pos="1549"/>
              </w:tabs>
              <w:spacing w:before="2" w:line="242" w:lineRule="auto"/>
              <w:ind w:left="106" w:right="97" w:firstLine="480"/>
              <w:rPr>
                <w:sz w:val="24"/>
              </w:rPr>
            </w:pPr>
            <w:r>
              <w:rPr>
                <w:sz w:val="24"/>
              </w:rPr>
              <w:t>第二条</w:t>
            </w:r>
            <w:r>
              <w:rPr>
                <w:sz w:val="24"/>
              </w:rPr>
              <w:tab/>
            </w:r>
            <w:r>
              <w:rPr>
                <w:sz w:val="24"/>
              </w:rPr>
              <w:t>海关注册登记和备案企业以及企业相关人员信用信息的采集、公示，企业</w:t>
            </w:r>
            <w:r>
              <w:rPr>
                <w:spacing w:val="-14"/>
                <w:sz w:val="24"/>
              </w:rPr>
              <w:t>信</w:t>
            </w:r>
            <w:r>
              <w:rPr>
                <w:sz w:val="24"/>
              </w:rPr>
              <w:t>用状况的认定、管理等适用本办法。</w:t>
            </w:r>
          </w:p>
          <w:p>
            <w:pPr>
              <w:pStyle w:val="7"/>
              <w:tabs>
                <w:tab w:val="left" w:pos="1549"/>
              </w:tabs>
              <w:spacing w:line="242" w:lineRule="auto"/>
              <w:ind w:left="106" w:right="97" w:firstLine="480"/>
              <w:rPr>
                <w:sz w:val="24"/>
              </w:rPr>
            </w:pPr>
            <w:r>
              <w:rPr>
                <w:sz w:val="24"/>
              </w:rPr>
              <w:t>第三条</w:t>
            </w:r>
            <w:r>
              <w:rPr>
                <w:sz w:val="24"/>
              </w:rPr>
              <w:tab/>
            </w:r>
            <w:r>
              <w:rPr>
                <w:sz w:val="24"/>
              </w:rPr>
              <w:t>海关根据企业信用状况将企业认定为认证企业、一般信用企业和失信企业</w:t>
            </w:r>
            <w:r>
              <w:rPr>
                <w:spacing w:val="-14"/>
                <w:sz w:val="24"/>
              </w:rPr>
              <w:t>。</w:t>
            </w:r>
            <w:r>
              <w:rPr>
                <w:sz w:val="24"/>
              </w:rPr>
              <w:t>认证企业分为高级认证企业和一般认证企业。</w:t>
            </w:r>
          </w:p>
          <w:p>
            <w:pPr>
              <w:pStyle w:val="7"/>
              <w:spacing w:before="3" w:line="242" w:lineRule="auto"/>
              <w:ind w:left="586" w:right="119"/>
              <w:rPr>
                <w:sz w:val="24"/>
              </w:rPr>
            </w:pPr>
            <w:r>
              <w:rPr>
                <w:sz w:val="24"/>
              </w:rPr>
              <w:t>海关按照诚信守法便利、失信违法惩戒原则，对上述企业分别适用相应的管理措施。第十二条 企业有下列情形之一的，海关认定为失信企业：</w:t>
            </w:r>
          </w:p>
          <w:p>
            <w:pPr>
              <w:pStyle w:val="7"/>
              <w:spacing w:before="1" w:line="288" w:lineRule="exact"/>
              <w:ind w:left="586"/>
              <w:rPr>
                <w:sz w:val="24"/>
              </w:rPr>
            </w:pPr>
            <w:r>
              <w:rPr>
                <w:sz w:val="24"/>
              </w:rPr>
              <w:t>（一）有走私犯罪或者走私行为的；</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2"/>
              </w:rPr>
            </w:pPr>
          </w:p>
          <w:p>
            <w:pPr>
              <w:pStyle w:val="7"/>
              <w:ind w:left="108"/>
              <w:rPr>
                <w:sz w:val="24"/>
              </w:rPr>
            </w:pPr>
            <w:r>
              <w:rPr>
                <w:sz w:val="24"/>
              </w:rPr>
              <w:t>海关总署</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8" w:hRule="atLeast"/>
        </w:trPr>
        <w:tc>
          <w:tcPr>
            <w:tcW w:w="2674" w:type="dxa"/>
          </w:tcPr>
          <w:p>
            <w:pPr>
              <w:pStyle w:val="7"/>
              <w:spacing w:before="5"/>
              <w:ind w:left="107"/>
              <w:rPr>
                <w:sz w:val="24"/>
              </w:rPr>
            </w:pPr>
            <w:r>
              <w:rPr>
                <w:sz w:val="24"/>
              </w:rPr>
              <w:t>定下调企业信用等级。</w:t>
            </w:r>
          </w:p>
        </w:tc>
        <w:tc>
          <w:tcPr>
            <w:tcW w:w="9598" w:type="dxa"/>
          </w:tcPr>
          <w:p>
            <w:pPr>
              <w:pStyle w:val="7"/>
              <w:spacing w:before="2" w:line="242" w:lineRule="auto"/>
              <w:ind w:left="106" w:right="95" w:firstLine="480"/>
              <w:jc w:val="both"/>
              <w:rPr>
                <w:sz w:val="24"/>
              </w:rPr>
            </w:pPr>
            <w:r>
              <w:rPr>
                <w:sz w:val="24"/>
              </w:rPr>
              <w:t>（二</w:t>
            </w:r>
            <w:r>
              <w:rPr>
                <w:spacing w:val="-48"/>
                <w:sz w:val="24"/>
              </w:rPr>
              <w:t>）</w:t>
            </w:r>
            <w:r>
              <w:rPr>
                <w:sz w:val="24"/>
              </w:rPr>
              <w:t>非报关企业1</w:t>
            </w:r>
            <w:r>
              <w:rPr>
                <w:spacing w:val="-4"/>
                <w:sz w:val="24"/>
              </w:rPr>
              <w:t>年内违反海关监管规定行为次数超过上年度报关单、进出境备案清</w:t>
            </w:r>
            <w:r>
              <w:rPr>
                <w:sz w:val="24"/>
              </w:rPr>
              <w:t>单、进出境运输工具舱单等相关单证总票数千分之一且被海关行政处罚金额累计超过100 万元的；</w:t>
            </w:r>
          </w:p>
          <w:p>
            <w:pPr>
              <w:pStyle w:val="7"/>
              <w:spacing w:before="2" w:line="242" w:lineRule="auto"/>
              <w:ind w:left="106" w:right="95" w:firstLine="480"/>
              <w:rPr>
                <w:sz w:val="24"/>
              </w:rPr>
            </w:pPr>
            <w:r>
              <w:rPr>
                <w:sz w:val="24"/>
              </w:rPr>
              <w:t>报关企业1</w:t>
            </w:r>
            <w:r>
              <w:rPr>
                <w:spacing w:val="-6"/>
                <w:sz w:val="24"/>
              </w:rPr>
              <w:t>年内违反海关监管规定行为次数超过上年度报关单、进出境备案清单、进出</w:t>
            </w:r>
            <w:r>
              <w:rPr>
                <w:sz w:val="24"/>
              </w:rPr>
              <w:t>境运输工具舱单等相关单证总票数万分之五且被海关行政处罚金额累计超过30万元的；</w:t>
            </w:r>
          </w:p>
          <w:p>
            <w:pPr>
              <w:pStyle w:val="7"/>
              <w:spacing w:before="1"/>
              <w:ind w:left="586"/>
              <w:rPr>
                <w:sz w:val="24"/>
              </w:rPr>
            </w:pPr>
            <w:r>
              <w:rPr>
                <w:sz w:val="24"/>
              </w:rPr>
              <w:t>（三）拖欠应缴税款或者拖欠应缴罚没款项的；</w:t>
            </w:r>
          </w:p>
          <w:p>
            <w:pPr>
              <w:pStyle w:val="7"/>
              <w:spacing w:before="4" w:line="242" w:lineRule="auto"/>
              <w:ind w:left="106" w:right="97" w:firstLine="480"/>
              <w:rPr>
                <w:sz w:val="24"/>
              </w:rPr>
            </w:pPr>
            <w:r>
              <w:rPr>
                <w:sz w:val="24"/>
              </w:rPr>
              <w:t>（四）有本办法第八条第一款第（二）项情形，被海关列入信用信息异常企业名录超过90日的；</w:t>
            </w:r>
          </w:p>
          <w:p>
            <w:pPr>
              <w:pStyle w:val="7"/>
              <w:spacing w:before="1"/>
              <w:ind w:left="586"/>
              <w:rPr>
                <w:sz w:val="24"/>
              </w:rPr>
            </w:pPr>
            <w:r>
              <w:rPr>
                <w:sz w:val="24"/>
              </w:rPr>
              <w:t>（五）假借海关或者其他企业名义获取不当利益的；</w:t>
            </w:r>
          </w:p>
          <w:p>
            <w:pPr>
              <w:pStyle w:val="7"/>
              <w:spacing w:before="4"/>
              <w:ind w:left="586"/>
              <w:rPr>
                <w:sz w:val="24"/>
              </w:rPr>
            </w:pPr>
            <w:r>
              <w:rPr>
                <w:sz w:val="24"/>
              </w:rPr>
              <w:t>（六）向海关隐瞒真实情况或者提供虚假信息，影响企业信用管理的；</w:t>
            </w:r>
          </w:p>
          <w:p>
            <w:pPr>
              <w:pStyle w:val="7"/>
              <w:spacing w:before="2"/>
              <w:ind w:left="586"/>
              <w:rPr>
                <w:sz w:val="24"/>
              </w:rPr>
            </w:pPr>
            <w:r>
              <w:rPr>
                <w:sz w:val="24"/>
              </w:rPr>
              <w:t>（七）抗拒、阻碍海关工作人员依法执行职务，情节严重的；</w:t>
            </w:r>
          </w:p>
          <w:p>
            <w:pPr>
              <w:pStyle w:val="7"/>
              <w:spacing w:before="5"/>
              <w:ind w:left="586"/>
              <w:rPr>
                <w:sz w:val="24"/>
              </w:rPr>
            </w:pPr>
            <w:r>
              <w:rPr>
                <w:sz w:val="24"/>
              </w:rPr>
              <w:t>（八）因刑事犯罪被列入国家失信联合惩戒名单的；</w:t>
            </w:r>
          </w:p>
          <w:p>
            <w:pPr>
              <w:pStyle w:val="7"/>
              <w:spacing w:before="4"/>
              <w:ind w:left="586"/>
              <w:rPr>
                <w:sz w:val="24"/>
              </w:rPr>
            </w:pPr>
            <w:r>
              <w:rPr>
                <w:sz w:val="24"/>
              </w:rPr>
              <w:t>（九）海关总署规定的其他情形。</w:t>
            </w:r>
          </w:p>
          <w:p>
            <w:pPr>
              <w:pStyle w:val="7"/>
              <w:spacing w:before="5" w:line="242" w:lineRule="auto"/>
              <w:ind w:left="106" w:right="95" w:firstLine="480"/>
              <w:rPr>
                <w:sz w:val="24"/>
              </w:rPr>
            </w:pPr>
            <w:r>
              <w:rPr>
                <w:spacing w:val="-4"/>
                <w:sz w:val="24"/>
              </w:rPr>
              <w:t>当年注册登记或者备案的非报关企业、报关企业，</w:t>
            </w:r>
            <w:r>
              <w:rPr>
                <w:spacing w:val="-24"/>
                <w:sz w:val="24"/>
              </w:rPr>
              <w:t>1</w:t>
            </w:r>
            <w:r>
              <w:rPr>
                <w:spacing w:val="-2"/>
                <w:sz w:val="24"/>
              </w:rPr>
              <w:t>年内因违反海关监管规定被海关行</w:t>
            </w:r>
            <w:r>
              <w:rPr>
                <w:sz w:val="24"/>
              </w:rPr>
              <w:t>政处罚金额分别累计超过100万元、30万元的，海关认定为失信企业。</w:t>
            </w:r>
          </w:p>
          <w:p>
            <w:pPr>
              <w:pStyle w:val="7"/>
              <w:spacing w:line="242" w:lineRule="auto"/>
              <w:ind w:left="106" w:right="1" w:firstLine="480"/>
              <w:rPr>
                <w:sz w:val="24"/>
              </w:rPr>
            </w:pPr>
            <w:r>
              <w:rPr>
                <w:sz w:val="24"/>
              </w:rPr>
              <w:t>第十七条 申请认证期间，企业涉嫌走私被立案侦查或者调查的，海关应当终止认证。企业涉嫌违反海关监管规定被立案调查的，海关可以终止认证。</w:t>
            </w:r>
          </w:p>
          <w:p>
            <w:pPr>
              <w:pStyle w:val="7"/>
              <w:spacing w:before="1" w:line="242" w:lineRule="auto"/>
              <w:ind w:left="106" w:right="-29" w:firstLine="480"/>
              <w:rPr>
                <w:sz w:val="24"/>
              </w:rPr>
            </w:pPr>
            <w:r>
              <w:rPr>
                <w:spacing w:val="-16"/>
                <w:sz w:val="24"/>
              </w:rPr>
              <w:t>申请认证期间，企业被海关稽查、核查的，海关可以中止认证。中止时间超过</w:t>
            </w:r>
            <w:r>
              <w:rPr>
                <w:sz w:val="24"/>
              </w:rPr>
              <w:t>3个月的， 海关终止认证。</w:t>
            </w:r>
          </w:p>
          <w:p>
            <w:pPr>
              <w:pStyle w:val="7"/>
              <w:spacing w:before="2" w:line="242" w:lineRule="auto"/>
              <w:ind w:left="106" w:right="-29" w:firstLine="480"/>
              <w:rPr>
                <w:sz w:val="24"/>
              </w:rPr>
            </w:pPr>
            <w:r>
              <w:rPr>
                <w:spacing w:val="-2"/>
                <w:sz w:val="24"/>
              </w:rPr>
              <w:t>第十九条 认证企业被海关调整为一般信用企业管理的，</w:t>
            </w:r>
            <w:r>
              <w:rPr>
                <w:spacing w:val="-48"/>
                <w:sz w:val="24"/>
              </w:rPr>
              <w:t>1</w:t>
            </w:r>
            <w:r>
              <w:rPr>
                <w:spacing w:val="-1"/>
                <w:sz w:val="24"/>
              </w:rPr>
              <w:t>年内不得申请成为认证企业。</w:t>
            </w:r>
            <w:r>
              <w:rPr>
                <w:sz w:val="24"/>
              </w:rPr>
              <w:t>认证企业被海关调整为失信企业管理的，2年内不得成为一般信用企业。</w:t>
            </w:r>
          </w:p>
          <w:p>
            <w:pPr>
              <w:pStyle w:val="7"/>
              <w:spacing w:before="1" w:line="290" w:lineRule="exact"/>
              <w:ind w:left="586"/>
              <w:rPr>
                <w:sz w:val="24"/>
              </w:rPr>
            </w:pPr>
            <w:r>
              <w:rPr>
                <w:sz w:val="24"/>
              </w:rPr>
              <w:t>高级认证企业被海关调整为一般认证企业管理的，1年内不得申请成为高级认证企业。</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2674" w:type="dxa"/>
          </w:tcPr>
          <w:p>
            <w:pPr>
              <w:pStyle w:val="7"/>
              <w:spacing w:before="164" w:line="249" w:lineRule="auto"/>
              <w:ind w:left="107" w:right="97" w:firstLine="480"/>
              <w:jc w:val="both"/>
              <w:rPr>
                <w:sz w:val="24"/>
              </w:rPr>
            </w:pPr>
            <w:r>
              <w:rPr>
                <w:sz w:val="24"/>
              </w:rPr>
              <w:t>15. 依法在一定时期内禁止作为供应商参加政府采购活动。</w:t>
            </w:r>
          </w:p>
        </w:tc>
        <w:tc>
          <w:tcPr>
            <w:tcW w:w="9598" w:type="dxa"/>
          </w:tcPr>
          <w:p>
            <w:pPr>
              <w:pStyle w:val="7"/>
              <w:spacing w:before="6"/>
              <w:ind w:left="663"/>
              <w:rPr>
                <w:b/>
                <w:sz w:val="24"/>
              </w:rPr>
            </w:pPr>
            <w:r>
              <w:rPr>
                <w:b/>
                <w:sz w:val="24"/>
              </w:rPr>
              <w:t>1.《企业信息公示暂行条例》（国务院令第 654 号）</w:t>
            </w:r>
          </w:p>
          <w:p>
            <w:pPr>
              <w:pStyle w:val="7"/>
              <w:spacing w:before="9"/>
              <w:ind w:left="106" w:firstLine="556"/>
              <w:rPr>
                <w:sz w:val="24"/>
              </w:rPr>
            </w:pPr>
            <w:r>
              <w:rPr>
                <w:sz w:val="24"/>
              </w:rPr>
              <w:t>第十八条 县级以上地方人民政府及其有关部门应当建立健全信用约束机制，在政府</w:t>
            </w:r>
          </w:p>
          <w:p>
            <w:pPr>
              <w:pStyle w:val="7"/>
              <w:spacing w:line="320" w:lineRule="atLeast"/>
              <w:ind w:left="106" w:right="97"/>
              <w:rPr>
                <w:sz w:val="24"/>
              </w:rPr>
            </w:pPr>
            <w:r>
              <w:rPr>
                <w:sz w:val="24"/>
              </w:rPr>
              <w:t>采购、工程招投标、国有土地出让、授予荣誉称号等工作中，将企业信息作为重要考量因素，对被列入经营异常名录或者严重违法企业名单的企业依法予以限制或者禁入。</w:t>
            </w:r>
          </w:p>
        </w:tc>
        <w:tc>
          <w:tcPr>
            <w:tcW w:w="1848" w:type="dxa"/>
          </w:tcPr>
          <w:p>
            <w:pPr>
              <w:pStyle w:val="7"/>
              <w:rPr>
                <w:rFonts w:ascii="Times New Roman"/>
                <w:sz w:val="24"/>
              </w:rPr>
            </w:pPr>
          </w:p>
          <w:p>
            <w:pPr>
              <w:pStyle w:val="7"/>
              <w:spacing w:before="208"/>
              <w:ind w:left="108"/>
              <w:rPr>
                <w:sz w:val="24"/>
              </w:rPr>
            </w:pPr>
            <w:r>
              <w:rPr>
                <w:sz w:val="24"/>
              </w:rPr>
              <w:t>财政部</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3" w:hRule="atLeast"/>
        </w:trPr>
        <w:tc>
          <w:tcPr>
            <w:tcW w:w="2674" w:type="dxa"/>
          </w:tcPr>
          <w:p>
            <w:pPr>
              <w:pStyle w:val="7"/>
              <w:rPr>
                <w:rFonts w:ascii="Times New Roman"/>
                <w:sz w:val="24"/>
              </w:rPr>
            </w:pPr>
          </w:p>
        </w:tc>
        <w:tc>
          <w:tcPr>
            <w:tcW w:w="9598" w:type="dxa"/>
          </w:tcPr>
          <w:p>
            <w:pPr>
              <w:pStyle w:val="7"/>
              <w:spacing w:before="5"/>
              <w:ind w:left="663"/>
              <w:rPr>
                <w:b/>
                <w:sz w:val="24"/>
              </w:rPr>
            </w:pPr>
            <w:r>
              <w:rPr>
                <w:b/>
                <w:sz w:val="24"/>
              </w:rPr>
              <w:t>2.《中华人民共和国政府采购法》</w:t>
            </w:r>
          </w:p>
          <w:p>
            <w:pPr>
              <w:pStyle w:val="7"/>
              <w:spacing w:before="11"/>
              <w:ind w:left="663"/>
              <w:rPr>
                <w:sz w:val="24"/>
              </w:rPr>
            </w:pPr>
            <w:r>
              <w:rPr>
                <w:sz w:val="24"/>
              </w:rPr>
              <w:t>第二十二条 供应商参加政府采购活动应当具备下列条件：</w:t>
            </w:r>
          </w:p>
          <w:p>
            <w:pPr>
              <w:pStyle w:val="7"/>
              <w:spacing w:before="12"/>
              <w:ind w:left="663"/>
              <w:rPr>
                <w:sz w:val="24"/>
              </w:rPr>
            </w:pPr>
            <w:r>
              <w:rPr>
                <w:sz w:val="24"/>
              </w:rPr>
              <w:t>（二）具有良好的商业信誉和健全的财务会计制度；</w:t>
            </w:r>
          </w:p>
          <w:p>
            <w:pPr>
              <w:pStyle w:val="7"/>
              <w:spacing w:before="12" w:line="249" w:lineRule="auto"/>
              <w:ind w:left="663" w:right="1465"/>
              <w:rPr>
                <w:b/>
                <w:sz w:val="24"/>
              </w:rPr>
            </w:pPr>
            <w:r>
              <w:rPr>
                <w:sz w:val="24"/>
              </w:rPr>
              <w:t xml:space="preserve">（五）参加政府采购活动前三年内，在经营活动中没有重大违法记录； </w:t>
            </w:r>
            <w:r>
              <w:rPr>
                <w:b/>
                <w:sz w:val="24"/>
              </w:rPr>
              <w:t>3.《中华人民共和国政府采购法实施条例》(国务院令第 658 号)</w:t>
            </w:r>
          </w:p>
          <w:p>
            <w:pPr>
              <w:pStyle w:val="7"/>
              <w:tabs>
                <w:tab w:val="left" w:pos="1863"/>
              </w:tabs>
              <w:spacing w:line="249" w:lineRule="auto"/>
              <w:ind w:left="106" w:right="-29" w:firstLine="556"/>
              <w:rPr>
                <w:sz w:val="24"/>
              </w:rPr>
            </w:pPr>
            <w:r>
              <w:rPr>
                <w:sz w:val="24"/>
              </w:rPr>
              <w:t>第十九条</w:t>
            </w:r>
            <w:r>
              <w:rPr>
                <w:sz w:val="24"/>
              </w:rPr>
              <w:tab/>
            </w:r>
            <w:r>
              <w:rPr>
                <w:sz w:val="24"/>
              </w:rPr>
              <w:t>政府采购法第二十二条第一款第五项所称重大违法记录</w:t>
            </w:r>
            <w:r>
              <w:rPr>
                <w:spacing w:val="-53"/>
                <w:sz w:val="24"/>
              </w:rPr>
              <w:t>，</w:t>
            </w:r>
            <w:r>
              <w:rPr>
                <w:sz w:val="24"/>
              </w:rPr>
              <w:t>是指供应商因违法经营受到刑事处罚或者责令停产停业</w:t>
            </w:r>
            <w:r>
              <w:rPr>
                <w:spacing w:val="-48"/>
                <w:sz w:val="24"/>
              </w:rPr>
              <w:t>、</w:t>
            </w:r>
            <w:r>
              <w:rPr>
                <w:sz w:val="24"/>
              </w:rPr>
              <w:t>吊销许可证或者执照</w:t>
            </w:r>
            <w:r>
              <w:rPr>
                <w:spacing w:val="-48"/>
                <w:sz w:val="24"/>
              </w:rPr>
              <w:t>、</w:t>
            </w:r>
            <w:r>
              <w:rPr>
                <w:sz w:val="24"/>
              </w:rPr>
              <w:t>较大数额罚款等行政处罚</w:t>
            </w:r>
            <w:r>
              <w:rPr>
                <w:spacing w:val="-13"/>
                <w:sz w:val="24"/>
              </w:rPr>
              <w:t>。</w:t>
            </w:r>
          </w:p>
          <w:p>
            <w:pPr>
              <w:pStyle w:val="7"/>
              <w:spacing w:line="249" w:lineRule="auto"/>
              <w:ind w:left="106" w:right="45" w:firstLine="556"/>
              <w:rPr>
                <w:sz w:val="24"/>
              </w:rPr>
            </w:pPr>
            <w:r>
              <w:rPr>
                <w:sz w:val="24"/>
              </w:rPr>
              <w:t>供应商在参加政府采购活动前3 年内因违法经营被禁止在一定期限内参加政府采购活动，期限届满的，可以参加政府采购活动。</w:t>
            </w:r>
          </w:p>
          <w:p>
            <w:pPr>
              <w:pStyle w:val="7"/>
              <w:numPr>
                <w:ilvl w:val="0"/>
                <w:numId w:val="16"/>
              </w:numPr>
              <w:tabs>
                <w:tab w:val="left" w:pos="907"/>
              </w:tabs>
              <w:spacing w:before="0" w:after="0" w:line="306" w:lineRule="exact"/>
              <w:ind w:left="907" w:right="0" w:hanging="244"/>
              <w:jc w:val="left"/>
              <w:rPr>
                <w:b/>
                <w:sz w:val="24"/>
              </w:rPr>
            </w:pPr>
            <w:r>
              <w:rPr>
                <w:b/>
                <w:spacing w:val="-2"/>
                <w:sz w:val="24"/>
              </w:rPr>
              <w:t>《国务院关于促进市场公平竞争维护市场正常秩序的若干意见》</w:t>
            </w:r>
            <w:r>
              <w:rPr>
                <w:b/>
                <w:sz w:val="24"/>
              </w:rPr>
              <w:t>（</w:t>
            </w:r>
            <w:r>
              <w:rPr>
                <w:b/>
                <w:spacing w:val="-6"/>
                <w:sz w:val="24"/>
              </w:rPr>
              <w:t>国发〔</w:t>
            </w:r>
            <w:r>
              <w:rPr>
                <w:b/>
                <w:sz w:val="24"/>
              </w:rPr>
              <w:t>2014</w:t>
            </w:r>
            <w:r>
              <w:rPr>
                <w:b/>
                <w:spacing w:val="-17"/>
                <w:sz w:val="24"/>
              </w:rPr>
              <w:t>〕</w:t>
            </w:r>
            <w:r>
              <w:rPr>
                <w:b/>
                <w:sz w:val="24"/>
              </w:rPr>
              <w:t>20</w:t>
            </w:r>
          </w:p>
          <w:p>
            <w:pPr>
              <w:pStyle w:val="7"/>
              <w:spacing w:before="7"/>
              <w:ind w:left="106"/>
              <w:rPr>
                <w:b/>
                <w:sz w:val="24"/>
              </w:rPr>
            </w:pPr>
            <w:r>
              <w:rPr>
                <w:b/>
                <w:sz w:val="24"/>
              </w:rPr>
              <w:t>号）</w:t>
            </w:r>
          </w:p>
          <w:p>
            <w:pPr>
              <w:pStyle w:val="7"/>
              <w:spacing w:before="12" w:line="249" w:lineRule="auto"/>
              <w:ind w:left="106" w:right="95" w:firstLine="480"/>
              <w:jc w:val="both"/>
              <w:rPr>
                <w:sz w:val="24"/>
              </w:rPr>
            </w:pPr>
            <w:r>
              <w:rPr>
                <w:sz w:val="24"/>
              </w:rPr>
              <w:t>（十五</w:t>
            </w:r>
            <w:r>
              <w:rPr>
                <w:spacing w:val="-32"/>
                <w:sz w:val="24"/>
              </w:rPr>
              <w:t>）</w:t>
            </w:r>
            <w:r>
              <w:rPr>
                <w:spacing w:val="-4"/>
                <w:sz w:val="24"/>
              </w:rPr>
              <w:t>建立健全守信激励和失信惩戒机制。 对守信主体予以支持和激励，对失信</w:t>
            </w:r>
            <w:r>
              <w:rPr>
                <w:spacing w:val="-1"/>
                <w:sz w:val="24"/>
              </w:rPr>
              <w:t>主体在经营、投融资、取得政府供应土地、进出口、出入境、注册新公司、工程招投标、政府采购、获得荣誉、安全许可、生产许可、从业任职资格、资质审核等方面依法予以限</w:t>
            </w:r>
            <w:r>
              <w:rPr>
                <w:sz w:val="24"/>
              </w:rPr>
              <w:t>制或禁止，对严重违法失信主体实行市场禁入制度。</w:t>
            </w:r>
          </w:p>
          <w:p>
            <w:pPr>
              <w:pStyle w:val="7"/>
              <w:numPr>
                <w:ilvl w:val="0"/>
                <w:numId w:val="16"/>
              </w:numPr>
              <w:tabs>
                <w:tab w:val="left" w:pos="907"/>
              </w:tabs>
              <w:spacing w:before="0" w:after="0" w:line="305" w:lineRule="exact"/>
              <w:ind w:left="907" w:right="0" w:hanging="244"/>
              <w:jc w:val="both"/>
              <w:rPr>
                <w:b/>
                <w:sz w:val="24"/>
              </w:rPr>
            </w:pPr>
            <w:r>
              <w:rPr>
                <w:b/>
                <w:spacing w:val="-8"/>
                <w:sz w:val="24"/>
              </w:rPr>
              <w:t>《国务院关于印发社会信用体系建设规划纲要</w:t>
            </w:r>
            <w:r>
              <w:rPr>
                <w:b/>
                <w:sz w:val="24"/>
              </w:rPr>
              <w:t>（2014-2020</w:t>
            </w:r>
            <w:r>
              <w:rPr>
                <w:b/>
                <w:spacing w:val="3"/>
                <w:sz w:val="24"/>
              </w:rPr>
              <w:t xml:space="preserve"> 年</w:t>
            </w:r>
            <w:r>
              <w:rPr>
                <w:b/>
                <w:spacing w:val="-116"/>
                <w:sz w:val="24"/>
              </w:rPr>
              <w:t>）</w:t>
            </w:r>
            <w:r>
              <w:rPr>
                <w:b/>
                <w:sz w:val="24"/>
              </w:rPr>
              <w:t>的通知</w:t>
            </w:r>
            <w:r>
              <w:rPr>
                <w:b/>
                <w:spacing w:val="-228"/>
                <w:sz w:val="24"/>
              </w:rPr>
              <w:t>》</w:t>
            </w:r>
            <w:r>
              <w:rPr>
                <w:b/>
                <w:sz w:val="24"/>
              </w:rPr>
              <w:t>（</w:t>
            </w:r>
            <w:r>
              <w:rPr>
                <w:b/>
                <w:spacing w:val="-38"/>
                <w:sz w:val="24"/>
              </w:rPr>
              <w:t>国发〔</w:t>
            </w:r>
            <w:r>
              <w:rPr>
                <w:b/>
                <w:sz w:val="24"/>
              </w:rPr>
              <w:t>2014</w:t>
            </w:r>
          </w:p>
          <w:p>
            <w:pPr>
              <w:pStyle w:val="7"/>
              <w:spacing w:before="12"/>
              <w:ind w:left="106"/>
              <w:jc w:val="both"/>
              <w:rPr>
                <w:b/>
                <w:sz w:val="24"/>
              </w:rPr>
            </w:pPr>
            <w:r>
              <w:rPr>
                <w:b/>
                <w:sz w:val="24"/>
              </w:rPr>
              <w:t>21 号）</w:t>
            </w:r>
          </w:p>
          <w:p>
            <w:pPr>
              <w:pStyle w:val="7"/>
              <w:spacing w:before="11"/>
              <w:ind w:left="663"/>
              <w:rPr>
                <w:sz w:val="24"/>
              </w:rPr>
            </w:pPr>
            <w:r>
              <w:rPr>
                <w:sz w:val="24"/>
              </w:rPr>
              <w:t>二、推进重点领域诚信建设</w:t>
            </w:r>
          </w:p>
          <w:p>
            <w:pPr>
              <w:pStyle w:val="7"/>
              <w:spacing w:before="12"/>
              <w:ind w:left="663"/>
              <w:rPr>
                <w:sz w:val="24"/>
              </w:rPr>
            </w:pPr>
            <w:r>
              <w:rPr>
                <w:sz w:val="24"/>
              </w:rPr>
              <w:t>（二）深入推进商务诚信建设。</w:t>
            </w:r>
          </w:p>
          <w:p>
            <w:pPr>
              <w:pStyle w:val="7"/>
              <w:spacing w:before="11"/>
              <w:ind w:left="106" w:firstLine="556"/>
              <w:rPr>
                <w:sz w:val="24"/>
              </w:rPr>
            </w:pPr>
            <w:r>
              <w:rPr>
                <w:spacing w:val="-4"/>
                <w:sz w:val="24"/>
              </w:rPr>
              <w:t>政府采购领域信用建设。制定供应商、评审专家、政府采购代理机构以及相关从业</w:t>
            </w:r>
          </w:p>
          <w:p>
            <w:pPr>
              <w:pStyle w:val="7"/>
              <w:spacing w:before="10" w:line="310" w:lineRule="atLeast"/>
              <w:ind w:left="106" w:right="97"/>
              <w:rPr>
                <w:sz w:val="24"/>
              </w:rPr>
            </w:pPr>
            <w:r>
              <w:rPr>
                <w:spacing w:val="-1"/>
                <w:sz w:val="24"/>
              </w:rPr>
              <w:t>人员的信用记录标准。依法建立政府采购供应商不良行为记录名单，对列入不良行为记录名单的供应商，在一定期限内禁止参加政府采购活动。完善政府采购市场的准入和退出机</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5"/>
              <w:ind w:left="-187"/>
              <w:rPr>
                <w:b/>
                <w:sz w:val="24"/>
              </w:rPr>
            </w:pPr>
            <w:r>
              <w:rPr>
                <w:b/>
                <w:w w:val="99"/>
                <w:sz w:val="24"/>
              </w:rPr>
              <w:t>〕</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674" w:type="dxa"/>
          </w:tcPr>
          <w:p>
            <w:pPr>
              <w:pStyle w:val="7"/>
              <w:rPr>
                <w:rFonts w:ascii="Times New Roman"/>
                <w:sz w:val="24"/>
              </w:rPr>
            </w:pPr>
          </w:p>
        </w:tc>
        <w:tc>
          <w:tcPr>
            <w:tcW w:w="9598" w:type="dxa"/>
          </w:tcPr>
          <w:p>
            <w:pPr>
              <w:pStyle w:val="7"/>
              <w:spacing w:before="5"/>
              <w:ind w:left="106"/>
              <w:rPr>
                <w:sz w:val="24"/>
              </w:rPr>
            </w:pPr>
            <w:r>
              <w:rPr>
                <w:sz w:val="24"/>
              </w:rPr>
              <w:t>制，充分利用工商、税务、金融、检察等其他部门提供的信用信息，加强对政府采购当事</w:t>
            </w:r>
          </w:p>
          <w:p>
            <w:pPr>
              <w:pStyle w:val="7"/>
              <w:spacing w:before="11" w:line="294" w:lineRule="exact"/>
              <w:ind w:left="106"/>
              <w:rPr>
                <w:sz w:val="24"/>
              </w:rPr>
            </w:pPr>
            <w:r>
              <w:rPr>
                <w:sz w:val="24"/>
              </w:rPr>
              <w:t>人和相关人员的信用管理。</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5"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7"/>
              </w:rPr>
            </w:pPr>
          </w:p>
          <w:p>
            <w:pPr>
              <w:pStyle w:val="7"/>
              <w:spacing w:line="249" w:lineRule="auto"/>
              <w:ind w:left="107" w:right="97" w:firstLine="480"/>
              <w:rPr>
                <w:sz w:val="24"/>
              </w:rPr>
            </w:pPr>
            <w:r>
              <w:rPr>
                <w:sz w:val="24"/>
              </w:rPr>
              <w:t>16. 对取得政府供应土地进行必要限制。</w:t>
            </w:r>
          </w:p>
        </w:tc>
        <w:tc>
          <w:tcPr>
            <w:tcW w:w="9598" w:type="dxa"/>
          </w:tcPr>
          <w:p>
            <w:pPr>
              <w:pStyle w:val="7"/>
              <w:numPr>
                <w:ilvl w:val="0"/>
                <w:numId w:val="17"/>
              </w:numPr>
              <w:tabs>
                <w:tab w:val="left" w:pos="830"/>
              </w:tabs>
              <w:spacing w:before="5" w:after="0" w:line="240" w:lineRule="auto"/>
              <w:ind w:left="829" w:right="0" w:hanging="244"/>
              <w:jc w:val="left"/>
              <w:rPr>
                <w:b/>
                <w:sz w:val="24"/>
              </w:rPr>
            </w:pPr>
            <w:r>
              <w:rPr>
                <w:b/>
                <w:sz w:val="24"/>
              </w:rPr>
              <w:t>《企业信息公示暂行条例》（国务院令第654号）</w:t>
            </w:r>
          </w:p>
          <w:p>
            <w:pPr>
              <w:pStyle w:val="7"/>
              <w:spacing w:before="11" w:line="249" w:lineRule="auto"/>
              <w:ind w:left="106" w:right="119" w:firstLine="480"/>
              <w:jc w:val="both"/>
              <w:rPr>
                <w:sz w:val="24"/>
              </w:rPr>
            </w:pPr>
            <w:r>
              <w:rPr>
                <w:sz w:val="24"/>
              </w:rPr>
              <w:t>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pPr>
              <w:pStyle w:val="7"/>
              <w:numPr>
                <w:ilvl w:val="0"/>
                <w:numId w:val="17"/>
              </w:numPr>
              <w:tabs>
                <w:tab w:val="left" w:pos="828"/>
              </w:tabs>
              <w:spacing w:before="0" w:after="0" w:line="249" w:lineRule="auto"/>
              <w:ind w:left="106" w:right="95" w:firstLine="480"/>
              <w:jc w:val="left"/>
              <w:rPr>
                <w:b/>
                <w:sz w:val="24"/>
              </w:rPr>
            </w:pPr>
            <w:r>
              <w:rPr>
                <w:b/>
                <w:spacing w:val="-1"/>
                <w:sz w:val="24"/>
              </w:rPr>
              <w:t>《国务院关于促进市场公平竞争维护市场正常秩序的若干意见》</w:t>
            </w:r>
            <w:r>
              <w:rPr>
                <w:b/>
                <w:sz w:val="24"/>
              </w:rPr>
              <w:t>（国发〔2014</w:t>
            </w:r>
            <w:r>
              <w:rPr>
                <w:b/>
                <w:spacing w:val="-3"/>
                <w:sz w:val="24"/>
              </w:rPr>
              <w:t>〕</w:t>
            </w:r>
            <w:r>
              <w:rPr>
                <w:b/>
                <w:spacing w:val="-5"/>
                <w:sz w:val="24"/>
              </w:rPr>
              <w:t xml:space="preserve">20 </w:t>
            </w:r>
            <w:r>
              <w:rPr>
                <w:b/>
                <w:sz w:val="24"/>
              </w:rPr>
              <w:t>号）</w:t>
            </w:r>
          </w:p>
          <w:p>
            <w:pPr>
              <w:pStyle w:val="7"/>
              <w:spacing w:line="249" w:lineRule="auto"/>
              <w:ind w:left="106" w:right="119" w:firstLine="480"/>
              <w:jc w:val="both"/>
              <w:rPr>
                <w:sz w:val="24"/>
              </w:rPr>
            </w:pPr>
            <w:r>
              <w:rPr>
                <w:sz w:val="24"/>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pPr>
              <w:pStyle w:val="7"/>
              <w:numPr>
                <w:ilvl w:val="0"/>
                <w:numId w:val="17"/>
              </w:numPr>
              <w:tabs>
                <w:tab w:val="left" w:pos="828"/>
              </w:tabs>
              <w:spacing w:before="0" w:after="0" w:line="302" w:lineRule="exact"/>
              <w:ind w:left="827" w:right="0" w:hanging="242"/>
              <w:jc w:val="left"/>
              <w:rPr>
                <w:b/>
                <w:sz w:val="24"/>
              </w:rPr>
            </w:pPr>
            <w:r>
              <w:rPr>
                <w:b/>
                <w:spacing w:val="-1"/>
                <w:w w:val="95"/>
                <w:sz w:val="24"/>
              </w:rPr>
              <w:t>《国务院办公厅关于运用大数据加强对市场主体服务和监管的若干意见》</w:t>
            </w:r>
            <w:r>
              <w:rPr>
                <w:b/>
                <w:w w:val="95"/>
                <w:sz w:val="24"/>
              </w:rPr>
              <w:t>（国办发</w:t>
            </w:r>
          </w:p>
          <w:p>
            <w:pPr>
              <w:pStyle w:val="7"/>
              <w:spacing w:before="9"/>
              <w:ind w:left="106"/>
              <w:rPr>
                <w:b/>
                <w:sz w:val="24"/>
              </w:rPr>
            </w:pPr>
            <w:r>
              <w:rPr>
                <w:b/>
                <w:w w:val="95"/>
                <w:sz w:val="24"/>
              </w:rPr>
              <w:t>〔2015〕51号）</w:t>
            </w:r>
          </w:p>
          <w:p>
            <w:pPr>
              <w:pStyle w:val="7"/>
              <w:spacing w:line="320" w:lineRule="atLeast"/>
              <w:ind w:left="106" w:right="-29" w:firstLine="480"/>
              <w:rPr>
                <w:sz w:val="24"/>
              </w:rPr>
            </w:pPr>
            <w:r>
              <w:rPr>
                <w:sz w:val="24"/>
              </w:rPr>
              <w:t>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w:t>
            </w:r>
            <w:r>
              <w:rPr>
                <w:spacing w:val="-10"/>
                <w:sz w:val="24"/>
              </w:rPr>
              <w:t>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4"/>
              <w:ind w:left="108"/>
              <w:rPr>
                <w:sz w:val="24"/>
              </w:rPr>
            </w:pPr>
            <w:r>
              <w:rPr>
                <w:sz w:val="24"/>
              </w:rPr>
              <w:t>自然资源部</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3"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1"/>
              </w:rPr>
            </w:pPr>
          </w:p>
          <w:p>
            <w:pPr>
              <w:pStyle w:val="7"/>
              <w:spacing w:line="249" w:lineRule="auto"/>
              <w:ind w:left="107" w:right="94" w:firstLine="360"/>
              <w:rPr>
                <w:sz w:val="24"/>
              </w:rPr>
            </w:pPr>
            <w:r>
              <w:rPr>
                <w:sz w:val="24"/>
              </w:rPr>
              <w:t>17.将失信信息作为招标投标的重要参考。</w:t>
            </w:r>
          </w:p>
        </w:tc>
        <w:tc>
          <w:tcPr>
            <w:tcW w:w="9598" w:type="dxa"/>
          </w:tcPr>
          <w:p>
            <w:pPr>
              <w:pStyle w:val="7"/>
              <w:numPr>
                <w:ilvl w:val="0"/>
                <w:numId w:val="18"/>
              </w:numPr>
              <w:tabs>
                <w:tab w:val="left" w:pos="907"/>
              </w:tabs>
              <w:spacing w:before="5" w:after="0" w:line="240" w:lineRule="auto"/>
              <w:ind w:left="907" w:right="0" w:hanging="244"/>
              <w:jc w:val="both"/>
              <w:rPr>
                <w:b/>
                <w:sz w:val="24"/>
              </w:rPr>
            </w:pPr>
            <w:r>
              <w:rPr>
                <w:b/>
                <w:sz w:val="24"/>
              </w:rPr>
              <w:t>《企业信息公示暂行条例》（</w:t>
            </w:r>
            <w:r>
              <w:rPr>
                <w:b/>
                <w:spacing w:val="-11"/>
                <w:sz w:val="24"/>
              </w:rPr>
              <w:t xml:space="preserve">国务院令第 </w:t>
            </w:r>
            <w:r>
              <w:rPr>
                <w:b/>
                <w:sz w:val="24"/>
              </w:rPr>
              <w:t>654</w:t>
            </w:r>
            <w:r>
              <w:rPr>
                <w:b/>
                <w:spacing w:val="-31"/>
                <w:sz w:val="24"/>
              </w:rPr>
              <w:t xml:space="preserve"> 号</w:t>
            </w:r>
            <w:r>
              <w:rPr>
                <w:b/>
                <w:sz w:val="24"/>
              </w:rPr>
              <w:t>）</w:t>
            </w:r>
          </w:p>
          <w:p>
            <w:pPr>
              <w:pStyle w:val="7"/>
              <w:spacing w:before="11" w:line="249" w:lineRule="auto"/>
              <w:ind w:left="106" w:right="95" w:firstLine="556"/>
              <w:jc w:val="both"/>
              <w:rPr>
                <w:sz w:val="24"/>
              </w:rPr>
            </w:pPr>
            <w:r>
              <w:rPr>
                <w:sz w:val="24"/>
              </w:rPr>
              <w:t>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pPr>
              <w:pStyle w:val="7"/>
              <w:numPr>
                <w:ilvl w:val="0"/>
                <w:numId w:val="18"/>
              </w:numPr>
              <w:tabs>
                <w:tab w:val="left" w:pos="907"/>
              </w:tabs>
              <w:spacing w:before="0" w:after="0" w:line="306" w:lineRule="exact"/>
              <w:ind w:left="907" w:right="0" w:hanging="244"/>
              <w:jc w:val="both"/>
              <w:rPr>
                <w:b/>
                <w:sz w:val="24"/>
              </w:rPr>
            </w:pPr>
            <w:r>
              <w:rPr>
                <w:b/>
                <w:spacing w:val="-8"/>
                <w:sz w:val="24"/>
              </w:rPr>
              <w:t>《国务院关于印发社会信用体系建设规划纲要</w:t>
            </w:r>
            <w:r>
              <w:rPr>
                <w:b/>
                <w:sz w:val="24"/>
              </w:rPr>
              <w:t>（2014-2020</w:t>
            </w:r>
            <w:r>
              <w:rPr>
                <w:b/>
                <w:spacing w:val="3"/>
                <w:sz w:val="24"/>
              </w:rPr>
              <w:t xml:space="preserve"> 年</w:t>
            </w:r>
            <w:r>
              <w:rPr>
                <w:b/>
                <w:spacing w:val="-116"/>
                <w:sz w:val="24"/>
              </w:rPr>
              <w:t>）</w:t>
            </w:r>
            <w:r>
              <w:rPr>
                <w:b/>
                <w:sz w:val="24"/>
              </w:rPr>
              <w:t>的通知</w:t>
            </w:r>
            <w:r>
              <w:rPr>
                <w:b/>
                <w:spacing w:val="-228"/>
                <w:sz w:val="24"/>
              </w:rPr>
              <w:t>》</w:t>
            </w:r>
            <w:r>
              <w:rPr>
                <w:b/>
                <w:sz w:val="24"/>
              </w:rPr>
              <w:t>（</w:t>
            </w:r>
            <w:r>
              <w:rPr>
                <w:b/>
                <w:spacing w:val="-38"/>
                <w:sz w:val="24"/>
              </w:rPr>
              <w:t>国发〔</w:t>
            </w:r>
            <w:r>
              <w:rPr>
                <w:b/>
                <w:sz w:val="24"/>
              </w:rPr>
              <w:t>2014</w:t>
            </w:r>
          </w:p>
          <w:p>
            <w:pPr>
              <w:pStyle w:val="7"/>
              <w:spacing w:before="12"/>
              <w:ind w:left="106"/>
              <w:jc w:val="both"/>
              <w:rPr>
                <w:b/>
                <w:sz w:val="24"/>
              </w:rPr>
            </w:pPr>
            <w:r>
              <w:rPr>
                <w:b/>
                <w:sz w:val="24"/>
              </w:rPr>
              <w:t>21 号）</w:t>
            </w:r>
          </w:p>
          <w:p>
            <w:pPr>
              <w:pStyle w:val="7"/>
              <w:spacing w:before="12"/>
              <w:ind w:left="663"/>
              <w:rPr>
                <w:sz w:val="24"/>
              </w:rPr>
            </w:pPr>
            <w:r>
              <w:rPr>
                <w:sz w:val="24"/>
              </w:rPr>
              <w:t>二、推进重点领域诚信建设</w:t>
            </w:r>
          </w:p>
          <w:p>
            <w:pPr>
              <w:pStyle w:val="7"/>
              <w:spacing w:before="11"/>
              <w:ind w:left="663"/>
              <w:rPr>
                <w:sz w:val="24"/>
              </w:rPr>
            </w:pPr>
            <w:r>
              <w:rPr>
                <w:sz w:val="24"/>
              </w:rPr>
              <w:t>（二）深入推进商务诚信建设。</w:t>
            </w:r>
          </w:p>
          <w:p>
            <w:pPr>
              <w:pStyle w:val="7"/>
              <w:spacing w:before="12" w:line="249" w:lineRule="auto"/>
              <w:ind w:left="106" w:right="-29" w:firstLine="556"/>
              <w:rPr>
                <w:sz w:val="24"/>
              </w:rPr>
            </w:pPr>
            <w:r>
              <w:rPr>
                <w:spacing w:val="-4"/>
                <w:sz w:val="24"/>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w:t>
            </w:r>
            <w:r>
              <w:rPr>
                <w:spacing w:val="-11"/>
                <w:sz w:val="24"/>
              </w:rPr>
              <w:t>享。鼓励市场主体运用基本信用信息和第三方信用评价结果，并将其作为投标人资格审查、</w:t>
            </w:r>
            <w:r>
              <w:rPr>
                <w:sz w:val="24"/>
              </w:rPr>
              <w:t>评标、定标和合同签订的重要依据。</w:t>
            </w:r>
          </w:p>
          <w:p>
            <w:pPr>
              <w:pStyle w:val="7"/>
              <w:spacing w:line="301" w:lineRule="exact"/>
              <w:ind w:left="663"/>
              <w:rPr>
                <w:b/>
                <w:sz w:val="24"/>
              </w:rPr>
            </w:pPr>
            <w:r>
              <w:rPr>
                <w:b/>
                <w:sz w:val="24"/>
              </w:rPr>
              <w:t>3.《国务院办公厅关于运用大数据加强对市场主体服务和监管的若干意见》（国办发</w:t>
            </w:r>
          </w:p>
          <w:p>
            <w:pPr>
              <w:pStyle w:val="7"/>
              <w:spacing w:before="12"/>
              <w:ind w:left="106"/>
              <w:rPr>
                <w:b/>
                <w:sz w:val="24"/>
              </w:rPr>
            </w:pPr>
            <w:r>
              <w:rPr>
                <w:b/>
                <w:sz w:val="24"/>
              </w:rPr>
              <w:t>〔2015〕51 号）</w:t>
            </w:r>
          </w:p>
          <w:p>
            <w:pPr>
              <w:pStyle w:val="7"/>
              <w:spacing w:before="11" w:line="249" w:lineRule="auto"/>
              <w:ind w:left="106" w:right="-29" w:firstLine="556"/>
              <w:rPr>
                <w:sz w:val="24"/>
              </w:rPr>
            </w:pPr>
            <w:r>
              <w:rPr>
                <w:sz w:val="24"/>
              </w:rPr>
              <w:t>（十三</w:t>
            </w:r>
            <w:r>
              <w:rPr>
                <w:spacing w:val="-27"/>
                <w:sz w:val="24"/>
              </w:rPr>
              <w:t>）</w:t>
            </w:r>
            <w:r>
              <w:rPr>
                <w:spacing w:val="-3"/>
                <w:sz w:val="24"/>
              </w:rPr>
              <w:t>建立健全失信联合惩戒机制。各级人民政府应将使用信用信息和信用报告嵌</w:t>
            </w:r>
            <w:r>
              <w:rPr>
                <w:spacing w:val="-9"/>
                <w:sz w:val="24"/>
              </w:rPr>
              <w:t>入行政管理和公共服务的各领域、各环节，作为必要条件或重要参考依据。充分发挥行政、</w:t>
            </w:r>
            <w:r>
              <w:rPr>
                <w:sz w:val="24"/>
              </w:rPr>
              <w:t>司法、金融、社会等领域的综合监管效能，在市场准入、行政审批、资质认定、享受财政</w:t>
            </w:r>
            <w:r>
              <w:rPr>
                <w:spacing w:val="-8"/>
                <w:sz w:val="24"/>
              </w:rPr>
              <w:t>补贴和税收优惠政策、企业法定代表人和负责人任职资格审查、政府采购、政府购买服务、</w:t>
            </w:r>
            <w:r>
              <w:rPr>
                <w:sz w:val="24"/>
              </w:rPr>
              <w:t>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w:t>
            </w:r>
          </w:p>
          <w:p>
            <w:pPr>
              <w:pStyle w:val="7"/>
              <w:spacing w:line="285" w:lineRule="exact"/>
              <w:ind w:left="106"/>
              <w:rPr>
                <w:sz w:val="24"/>
              </w:rPr>
            </w:pPr>
            <w:r>
              <w:rPr>
                <w:sz w:val="24"/>
              </w:rPr>
              <w:t>动响应和失信约束机制，对违法失信主体依法予以限制或禁入。建立各行业“黑名单”制</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78"/>
              <w:ind w:left="-187"/>
              <w:rPr>
                <w:b/>
                <w:sz w:val="24"/>
              </w:rPr>
            </w:pPr>
            <w:r>
              <w:rPr>
                <w:b/>
                <w:w w:val="99"/>
                <w:sz w:val="24"/>
              </w:rPr>
              <w:t>〕</w:t>
            </w: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3" w:line="249" w:lineRule="auto"/>
              <w:ind w:left="108" w:right="287"/>
              <w:rPr>
                <w:sz w:val="24"/>
              </w:rPr>
            </w:pPr>
            <w:r>
              <w:rPr>
                <w:sz w:val="24"/>
              </w:rPr>
              <w:t>国家发展改革委</w:t>
            </w:r>
          </w:p>
        </w:tc>
      </w:tr>
    </w:tbl>
    <w:p>
      <w:pPr>
        <w:spacing w:after="0" w:line="249" w:lineRule="auto"/>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2674" w:type="dxa"/>
          </w:tcPr>
          <w:p>
            <w:pPr>
              <w:pStyle w:val="7"/>
              <w:rPr>
                <w:rFonts w:ascii="Times New Roman"/>
                <w:sz w:val="24"/>
              </w:rPr>
            </w:pPr>
          </w:p>
        </w:tc>
        <w:tc>
          <w:tcPr>
            <w:tcW w:w="9598" w:type="dxa"/>
          </w:tcPr>
          <w:p>
            <w:pPr>
              <w:pStyle w:val="7"/>
              <w:spacing w:before="5" w:line="249" w:lineRule="auto"/>
              <w:ind w:left="663" w:right="839" w:hanging="557"/>
              <w:rPr>
                <w:b/>
                <w:sz w:val="24"/>
              </w:rPr>
            </w:pPr>
            <w:r>
              <w:rPr>
                <w:sz w:val="24"/>
              </w:rPr>
              <w:t>度和市场退出机制。推动将申请人良好的信用状况作为各类行政许可的必备条件。</w:t>
            </w:r>
            <w:r>
              <w:rPr>
                <w:b/>
                <w:sz w:val="24"/>
              </w:rPr>
              <w:t>4.《工程建设项目施工招标投标办法》（七部委 30 号令）</w:t>
            </w:r>
          </w:p>
          <w:p>
            <w:pPr>
              <w:pStyle w:val="7"/>
              <w:spacing w:line="306" w:lineRule="exact"/>
              <w:ind w:left="663"/>
              <w:rPr>
                <w:sz w:val="24"/>
              </w:rPr>
            </w:pPr>
            <w:r>
              <w:rPr>
                <w:sz w:val="24"/>
              </w:rPr>
              <w:t>第二十条 资格审查应主要审查潜在投标人或者投标人是否符合下列条件：</w:t>
            </w:r>
          </w:p>
          <w:p>
            <w:pPr>
              <w:pStyle w:val="7"/>
              <w:spacing w:before="11"/>
              <w:ind w:left="663"/>
              <w:rPr>
                <w:sz w:val="24"/>
              </w:rPr>
            </w:pPr>
            <w:r>
              <w:rPr>
                <w:sz w:val="24"/>
              </w:rPr>
              <w:t>（一）具有独立订立合同的权利；</w:t>
            </w:r>
          </w:p>
          <w:p>
            <w:pPr>
              <w:pStyle w:val="7"/>
              <w:spacing w:before="12" w:line="249" w:lineRule="auto"/>
              <w:ind w:left="106" w:right="30" w:firstLine="556"/>
              <w:rPr>
                <w:sz w:val="24"/>
              </w:rPr>
            </w:pPr>
            <w:r>
              <w:rPr>
                <w:sz w:val="24"/>
              </w:rPr>
              <w:t>（二）具有履行合同的能力，包括专业、技术资格和能力，资金、设备和其他物质设施状况，管理能力，经验、信誉和相应的从业人员；</w:t>
            </w:r>
          </w:p>
          <w:p>
            <w:pPr>
              <w:pStyle w:val="7"/>
              <w:spacing w:line="306" w:lineRule="exact"/>
              <w:ind w:left="663"/>
              <w:rPr>
                <w:sz w:val="24"/>
              </w:rPr>
            </w:pPr>
            <w:r>
              <w:rPr>
                <w:sz w:val="24"/>
              </w:rPr>
              <w:t>（三）没有处于被责令停业，投标资格被取消，财产被接管、冻结，破产状态；</w:t>
            </w:r>
          </w:p>
          <w:p>
            <w:pPr>
              <w:pStyle w:val="7"/>
              <w:spacing w:before="12" w:line="293" w:lineRule="exact"/>
              <w:ind w:left="663"/>
              <w:rPr>
                <w:sz w:val="24"/>
              </w:rPr>
            </w:pPr>
            <w:r>
              <w:rPr>
                <w:sz w:val="24"/>
              </w:rPr>
              <w:t>（四）在最近三年内没有骗取中标和严重违约及重大工程质量问题；</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2" w:hRule="atLeast"/>
        </w:trPr>
        <w:tc>
          <w:tcPr>
            <w:tcW w:w="2674"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6"/>
              </w:rPr>
            </w:pPr>
          </w:p>
          <w:p>
            <w:pPr>
              <w:pStyle w:val="7"/>
              <w:spacing w:line="249" w:lineRule="auto"/>
              <w:ind w:left="107" w:right="94" w:firstLine="360"/>
              <w:jc w:val="both"/>
              <w:rPr>
                <w:sz w:val="24"/>
              </w:rPr>
            </w:pPr>
            <w:r>
              <w:rPr>
                <w:sz w:val="24"/>
              </w:rPr>
              <w:t>18.将失信信息作为申请政府性资金支持的重要参考。</w:t>
            </w:r>
          </w:p>
        </w:tc>
        <w:tc>
          <w:tcPr>
            <w:tcW w:w="9598" w:type="dxa"/>
            <w:vMerge w:val="restart"/>
          </w:tcPr>
          <w:p>
            <w:pPr>
              <w:pStyle w:val="7"/>
              <w:numPr>
                <w:ilvl w:val="0"/>
                <w:numId w:val="19"/>
              </w:numPr>
              <w:tabs>
                <w:tab w:val="left" w:pos="821"/>
              </w:tabs>
              <w:spacing w:before="6" w:after="0" w:line="240" w:lineRule="auto"/>
              <w:ind w:left="820" w:right="0" w:hanging="244"/>
              <w:jc w:val="left"/>
              <w:rPr>
                <w:b/>
                <w:sz w:val="24"/>
              </w:rPr>
            </w:pPr>
            <w:r>
              <w:rPr>
                <w:b/>
                <w:sz w:val="24"/>
              </w:rPr>
              <w:t>《国务院办公厅关于运用大数据加强对市场主体服务和监管的若干意见》（国办发</w:t>
            </w:r>
          </w:p>
          <w:p>
            <w:pPr>
              <w:pStyle w:val="7"/>
              <w:spacing w:before="12"/>
              <w:ind w:left="106"/>
              <w:rPr>
                <w:b/>
                <w:sz w:val="24"/>
              </w:rPr>
            </w:pPr>
            <w:r>
              <w:rPr>
                <w:b/>
                <w:sz w:val="24"/>
              </w:rPr>
              <w:t>〔2015〕51 号）</w:t>
            </w:r>
          </w:p>
          <w:p>
            <w:pPr>
              <w:pStyle w:val="7"/>
              <w:spacing w:before="11" w:line="249" w:lineRule="auto"/>
              <w:ind w:left="106" w:right="-29" w:firstLine="360"/>
              <w:rPr>
                <w:sz w:val="24"/>
              </w:rPr>
            </w:pPr>
            <w:r>
              <w:rPr>
                <w:sz w:val="24"/>
              </w:rPr>
              <w:t>（十三</w:t>
            </w:r>
            <w:r>
              <w:rPr>
                <w:spacing w:val="-20"/>
                <w:sz w:val="24"/>
              </w:rPr>
              <w:t>）</w:t>
            </w:r>
            <w:r>
              <w:rPr>
                <w:spacing w:val="-5"/>
                <w:sz w:val="24"/>
              </w:rPr>
              <w:t>建立健全失信联合惩戒机制。充分发挥行政、司法、金融、社会等领域的综合监管效能，在市场准入、行政审批、资质认定、享受财政补贴和税收优惠政策、企业法定代表人和负责人任职资格审查、政府采购、政府购买服务、银行信贷、招标投标、国有</w:t>
            </w:r>
            <w:r>
              <w:rPr>
                <w:spacing w:val="-12"/>
                <w:sz w:val="24"/>
              </w:rPr>
              <w:t>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p>
            <w:pPr>
              <w:pStyle w:val="7"/>
              <w:numPr>
                <w:ilvl w:val="0"/>
                <w:numId w:val="19"/>
              </w:numPr>
              <w:tabs>
                <w:tab w:val="left" w:pos="831"/>
              </w:tabs>
              <w:spacing w:before="0" w:after="0" w:line="249" w:lineRule="auto"/>
              <w:ind w:left="106" w:right="61" w:firstLine="480"/>
              <w:jc w:val="left"/>
              <w:rPr>
                <w:b/>
                <w:sz w:val="24"/>
              </w:rPr>
            </w:pPr>
            <w:r>
              <w:rPr>
                <w:b/>
                <w:sz w:val="24"/>
              </w:rPr>
              <w:t>《国务院关于建立完善守信联合激励和失信联合惩戒制度加快推进社会诚信建设的指导意见》（国发〔2016〕33</w:t>
            </w:r>
            <w:r>
              <w:rPr>
                <w:b/>
                <w:spacing w:val="-31"/>
                <w:sz w:val="24"/>
              </w:rPr>
              <w:t xml:space="preserve"> 号</w:t>
            </w:r>
            <w:r>
              <w:rPr>
                <w:b/>
                <w:sz w:val="24"/>
              </w:rPr>
              <w:t>）</w:t>
            </w:r>
          </w:p>
          <w:p>
            <w:pPr>
              <w:pStyle w:val="7"/>
              <w:spacing w:line="249" w:lineRule="auto"/>
              <w:ind w:left="106" w:right="95" w:firstLine="556"/>
              <w:jc w:val="both"/>
              <w:rPr>
                <w:sz w:val="24"/>
              </w:rPr>
            </w:pPr>
            <w:r>
              <w:rPr>
                <w:sz w:val="24"/>
              </w:rPr>
              <w:t>（十</w:t>
            </w:r>
            <w:r>
              <w:rPr>
                <w:spacing w:val="-15"/>
                <w:sz w:val="24"/>
              </w:rPr>
              <w:t>）</w:t>
            </w:r>
            <w:r>
              <w:rPr>
                <w:spacing w:val="-4"/>
                <w:sz w:val="24"/>
              </w:rPr>
              <w:t>依法依规加强对失信行为的行政性约束和惩戒。对严重失信主体，各地区、各</w:t>
            </w:r>
            <w:r>
              <w:rPr>
                <w:spacing w:val="-1"/>
                <w:sz w:val="24"/>
              </w:rPr>
              <w:t>有关部门应将其列为重点监管对象，依法依规采取行政性约束和惩戒措施。严格限制申请财政性资金项目，限制参与有关公共资源交易活动，限制参与基础设施和公用事业特许</w:t>
            </w:r>
            <w:r>
              <w:rPr>
                <w:sz w:val="24"/>
              </w:rPr>
              <w:t>经营。</w:t>
            </w:r>
          </w:p>
          <w:p>
            <w:pPr>
              <w:pStyle w:val="7"/>
              <w:numPr>
                <w:ilvl w:val="0"/>
                <w:numId w:val="19"/>
              </w:numPr>
              <w:tabs>
                <w:tab w:val="left" w:pos="907"/>
              </w:tabs>
              <w:spacing w:before="0" w:after="0" w:line="288" w:lineRule="exact"/>
              <w:ind w:left="907" w:right="0" w:hanging="244"/>
              <w:jc w:val="both"/>
              <w:rPr>
                <w:b/>
                <w:sz w:val="24"/>
              </w:rPr>
            </w:pPr>
            <w:r>
              <w:rPr>
                <w:b/>
                <w:spacing w:val="-8"/>
                <w:sz w:val="24"/>
              </w:rPr>
              <w:t>《国务院关于印发社会信用体系建设规划纲要</w:t>
            </w:r>
            <w:r>
              <w:rPr>
                <w:b/>
                <w:sz w:val="24"/>
              </w:rPr>
              <w:t>（2014-2020</w:t>
            </w:r>
            <w:r>
              <w:rPr>
                <w:b/>
                <w:spacing w:val="3"/>
                <w:sz w:val="24"/>
              </w:rPr>
              <w:t xml:space="preserve"> 年</w:t>
            </w:r>
            <w:r>
              <w:rPr>
                <w:b/>
                <w:spacing w:val="-116"/>
                <w:sz w:val="24"/>
              </w:rPr>
              <w:t>）</w:t>
            </w:r>
            <w:r>
              <w:rPr>
                <w:b/>
                <w:sz w:val="24"/>
              </w:rPr>
              <w:t>的通知</w:t>
            </w:r>
            <w:r>
              <w:rPr>
                <w:b/>
                <w:spacing w:val="-228"/>
                <w:sz w:val="24"/>
              </w:rPr>
              <w:t>》</w:t>
            </w:r>
            <w:r>
              <w:rPr>
                <w:b/>
                <w:sz w:val="24"/>
              </w:rPr>
              <w:t>（</w:t>
            </w:r>
            <w:r>
              <w:rPr>
                <w:b/>
                <w:spacing w:val="-38"/>
                <w:sz w:val="24"/>
              </w:rPr>
              <w:t>国发〔</w:t>
            </w:r>
            <w:r>
              <w:rPr>
                <w:b/>
                <w:sz w:val="24"/>
              </w:rPr>
              <w:t>2014</w:t>
            </w:r>
          </w:p>
        </w:tc>
        <w:tc>
          <w:tcPr>
            <w:tcW w:w="1848" w:type="dxa"/>
            <w:tcBorders>
              <w:bottom w:val="nil"/>
            </w:tcBorders>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22"/>
              </w:rPr>
            </w:pPr>
          </w:p>
          <w:p>
            <w:pPr>
              <w:pStyle w:val="7"/>
              <w:spacing w:line="249" w:lineRule="auto"/>
              <w:ind w:left="108" w:right="47"/>
              <w:rPr>
                <w:sz w:val="24"/>
              </w:rPr>
            </w:pPr>
            <w:r>
              <w:rPr>
                <w:spacing w:val="-3"/>
                <w:sz w:val="24"/>
              </w:rPr>
              <w:t>各级人民政府、</w:t>
            </w:r>
            <w:r>
              <w:rPr>
                <w:sz w:val="24"/>
              </w:rPr>
              <w:t>国家发展改革 委、财政部、</w:t>
            </w:r>
          </w:p>
          <w:p>
            <w:pPr>
              <w:pStyle w:val="7"/>
              <w:spacing w:before="12"/>
              <w:ind w:left="108"/>
              <w:rPr>
                <w:sz w:val="24"/>
              </w:rPr>
            </w:pPr>
            <w:r>
              <w:rPr>
                <w:sz w:val="24"/>
              </w:rPr>
              <w:t>文化和旅游部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2674" w:type="dxa"/>
            <w:tcBorders>
              <w:top w:val="nil"/>
            </w:tcBorders>
          </w:tcPr>
          <w:p>
            <w:pPr>
              <w:pStyle w:val="7"/>
              <w:rPr>
                <w:rFonts w:ascii="Times New Roman"/>
                <w:sz w:val="24"/>
              </w:rPr>
            </w:pPr>
          </w:p>
        </w:tc>
        <w:tc>
          <w:tcPr>
            <w:tcW w:w="9598" w:type="dxa"/>
            <w:vMerge w:val="continue"/>
            <w:tcBorders>
              <w:top w:val="nil"/>
            </w:tcBorders>
          </w:tcPr>
          <w:p>
            <w:pPr>
              <w:rPr>
                <w:sz w:val="2"/>
                <w:szCs w:val="2"/>
              </w:rPr>
            </w:pPr>
          </w:p>
        </w:tc>
        <w:tc>
          <w:tcPr>
            <w:tcW w:w="1848" w:type="dxa"/>
            <w:tcBorders>
              <w:top w:val="nil"/>
            </w:tcBorders>
          </w:tcPr>
          <w:p>
            <w:pPr>
              <w:pStyle w:val="7"/>
              <w:rPr>
                <w:rFonts w:ascii="Times New Roman"/>
                <w:sz w:val="24"/>
              </w:rPr>
            </w:pPr>
          </w:p>
          <w:p>
            <w:pPr>
              <w:pStyle w:val="7"/>
              <w:rPr>
                <w:rFonts w:ascii="Times New Roman"/>
                <w:sz w:val="24"/>
              </w:rPr>
            </w:pPr>
          </w:p>
          <w:p>
            <w:pPr>
              <w:pStyle w:val="7"/>
              <w:spacing w:before="5"/>
              <w:rPr>
                <w:rFonts w:ascii="Times New Roman"/>
                <w:sz w:val="21"/>
              </w:rPr>
            </w:pPr>
          </w:p>
          <w:p>
            <w:pPr>
              <w:pStyle w:val="7"/>
              <w:spacing w:line="290" w:lineRule="exact"/>
              <w:ind w:left="-187"/>
              <w:rPr>
                <w:b/>
                <w:sz w:val="24"/>
              </w:rPr>
            </w:pPr>
            <w:r>
              <w:rPr>
                <w:b/>
                <w:w w:val="99"/>
                <w:sz w:val="24"/>
              </w:rPr>
              <w:t>〕</w:t>
            </w:r>
          </w:p>
        </w:tc>
      </w:tr>
    </w:tbl>
    <w:p>
      <w:pPr>
        <w:spacing w:after="0" w:line="290" w:lineRule="exact"/>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2674" w:type="dxa"/>
          </w:tcPr>
          <w:p>
            <w:pPr>
              <w:pStyle w:val="7"/>
              <w:rPr>
                <w:rFonts w:ascii="Times New Roman"/>
                <w:sz w:val="24"/>
              </w:rPr>
            </w:pPr>
          </w:p>
        </w:tc>
        <w:tc>
          <w:tcPr>
            <w:tcW w:w="9598" w:type="dxa"/>
          </w:tcPr>
          <w:p>
            <w:pPr>
              <w:pStyle w:val="7"/>
              <w:spacing w:before="5"/>
              <w:ind w:left="106"/>
              <w:rPr>
                <w:b/>
                <w:sz w:val="24"/>
              </w:rPr>
            </w:pPr>
            <w:r>
              <w:rPr>
                <w:b/>
                <w:sz w:val="24"/>
              </w:rPr>
              <w:t>21 号）</w:t>
            </w:r>
          </w:p>
          <w:p>
            <w:pPr>
              <w:pStyle w:val="7"/>
              <w:spacing w:before="11"/>
              <w:ind w:left="663"/>
              <w:rPr>
                <w:sz w:val="24"/>
              </w:rPr>
            </w:pPr>
            <w:r>
              <w:rPr>
                <w:sz w:val="24"/>
              </w:rPr>
              <w:t>二、推进重点领域诚信建设</w:t>
            </w:r>
          </w:p>
          <w:p>
            <w:pPr>
              <w:pStyle w:val="7"/>
              <w:spacing w:before="12"/>
              <w:ind w:left="586"/>
              <w:rPr>
                <w:sz w:val="24"/>
              </w:rPr>
            </w:pPr>
            <w:r>
              <w:rPr>
                <w:sz w:val="24"/>
              </w:rPr>
              <w:t>（一）加快推进政务诚信建设。</w:t>
            </w:r>
          </w:p>
          <w:p>
            <w:pPr>
              <w:pStyle w:val="7"/>
              <w:spacing w:line="320" w:lineRule="atLeast"/>
              <w:ind w:left="106" w:right="-29" w:firstLine="556"/>
              <w:rPr>
                <w:sz w:val="24"/>
              </w:rPr>
            </w:pPr>
            <w:r>
              <w:rPr>
                <w:spacing w:val="-4"/>
                <w:sz w:val="24"/>
              </w:rPr>
              <w:t>发挥政府诚信建设示范作用。各级人民政府首先要加强自身诚信建设，以政府的诚信</w:t>
            </w:r>
            <w:r>
              <w:rPr>
                <w:spacing w:val="-10"/>
                <w:sz w:val="24"/>
              </w:rPr>
              <w:t>施政，带动全社会诚信意识的树立和诚信水平的提高。在行政许可、政府采购、招标投标、</w:t>
            </w:r>
            <w:r>
              <w:rPr>
                <w:sz w:val="24"/>
              </w:rPr>
              <w:t>劳动就业、社会保障、科研管理、干部选拔任用和管理监督、申请政府资金支持等领域，率先使用信用信息和信用产品，培育信用服务市场发展。</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1"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6"/>
              </w:rPr>
            </w:pPr>
          </w:p>
          <w:p>
            <w:pPr>
              <w:pStyle w:val="7"/>
              <w:spacing w:line="249" w:lineRule="auto"/>
              <w:ind w:left="107" w:right="97" w:firstLine="480"/>
              <w:jc w:val="both"/>
              <w:rPr>
                <w:sz w:val="24"/>
              </w:rPr>
            </w:pPr>
            <w:r>
              <w:rPr>
                <w:sz w:val="24"/>
              </w:rPr>
              <w:t>19.</w:t>
            </w:r>
            <w:r>
              <w:rPr>
                <w:spacing w:val="-16"/>
                <w:sz w:val="24"/>
              </w:rPr>
              <w:t>招录</w:t>
            </w:r>
            <w:r>
              <w:rPr>
                <w:sz w:val="24"/>
              </w:rPr>
              <w:t>（聘</w:t>
            </w:r>
            <w:r>
              <w:rPr>
                <w:spacing w:val="-32"/>
                <w:sz w:val="24"/>
              </w:rPr>
              <w:t>）</w:t>
            </w:r>
            <w:r>
              <w:rPr>
                <w:spacing w:val="-8"/>
                <w:sz w:val="24"/>
              </w:rPr>
              <w:t>为公</w:t>
            </w:r>
            <w:r>
              <w:rPr>
                <w:spacing w:val="2"/>
                <w:sz w:val="24"/>
              </w:rPr>
              <w:t>务员或事业单位工作人</w:t>
            </w:r>
            <w:r>
              <w:rPr>
                <w:sz w:val="24"/>
              </w:rPr>
              <w:t>员时，依法予以限制。</w:t>
            </w:r>
          </w:p>
        </w:tc>
        <w:tc>
          <w:tcPr>
            <w:tcW w:w="9598" w:type="dxa"/>
          </w:tcPr>
          <w:p>
            <w:pPr>
              <w:pStyle w:val="7"/>
              <w:numPr>
                <w:ilvl w:val="0"/>
                <w:numId w:val="20"/>
              </w:numPr>
              <w:tabs>
                <w:tab w:val="left" w:pos="821"/>
              </w:tabs>
              <w:spacing w:before="6" w:after="0" w:line="240" w:lineRule="auto"/>
              <w:ind w:left="820" w:right="0" w:hanging="244"/>
              <w:jc w:val="left"/>
              <w:rPr>
                <w:b/>
                <w:sz w:val="24"/>
              </w:rPr>
            </w:pPr>
            <w:r>
              <w:rPr>
                <w:b/>
                <w:sz w:val="24"/>
              </w:rPr>
              <w:t>《中华人民共和国公务员法》</w:t>
            </w:r>
          </w:p>
          <w:p>
            <w:pPr>
              <w:pStyle w:val="7"/>
              <w:spacing w:before="12" w:line="249" w:lineRule="auto"/>
              <w:ind w:left="106" w:right="95" w:firstLine="480"/>
              <w:jc w:val="both"/>
              <w:rPr>
                <w:sz w:val="24"/>
              </w:rPr>
            </w:pPr>
            <w:r>
              <w:rPr>
                <w:sz w:val="24"/>
              </w:rPr>
              <w:t>第十二条 公务员应当履行下列义务：（一）模范遵守宪法和法律；（二）按照规定的权限和程序认真履行职责，努力提高工作效率；（三）全心全意为人民服务，接受人民监督；（四）维护国家的安全、荣誉和利益；（五）忠于职守，勤勉尽责，服从和执行上级依法作出的决定和命令；（六）保守国家秘密和工作秘密；（七）遵守纪律，恪守职业道德，模范遵守社会公德；（八）清正廉洁，公道正派；（九）法律规定的其他义务。</w:t>
            </w:r>
          </w:p>
          <w:p>
            <w:pPr>
              <w:pStyle w:val="7"/>
              <w:numPr>
                <w:ilvl w:val="0"/>
                <w:numId w:val="20"/>
              </w:numPr>
              <w:tabs>
                <w:tab w:val="left" w:pos="821"/>
                <w:tab w:val="left" w:pos="1786"/>
              </w:tabs>
              <w:spacing w:before="0" w:after="0" w:line="249" w:lineRule="auto"/>
              <w:ind w:left="586" w:right="3467" w:hanging="10"/>
              <w:jc w:val="left"/>
              <w:rPr>
                <w:sz w:val="24"/>
              </w:rPr>
            </w:pPr>
            <w:r>
              <w:rPr>
                <w:b/>
                <w:sz w:val="24"/>
              </w:rPr>
              <w:t>《公务员录用规定（试行）》（人事部令第</w:t>
            </w:r>
            <w:r>
              <w:rPr>
                <w:b/>
                <w:spacing w:val="-64"/>
                <w:sz w:val="24"/>
              </w:rPr>
              <w:t xml:space="preserve"> </w:t>
            </w:r>
            <w:r>
              <w:rPr>
                <w:b/>
                <w:sz w:val="24"/>
              </w:rPr>
              <w:t>7</w:t>
            </w:r>
            <w:r>
              <w:rPr>
                <w:b/>
                <w:spacing w:val="-62"/>
                <w:sz w:val="24"/>
              </w:rPr>
              <w:t xml:space="preserve"> </w:t>
            </w:r>
            <w:r>
              <w:rPr>
                <w:b/>
                <w:sz w:val="24"/>
              </w:rPr>
              <w:t>号</w:t>
            </w:r>
            <w:r>
              <w:rPr>
                <w:b/>
                <w:spacing w:val="-13"/>
                <w:sz w:val="24"/>
              </w:rPr>
              <w:t xml:space="preserve">） </w:t>
            </w:r>
            <w:r>
              <w:rPr>
                <w:sz w:val="24"/>
              </w:rPr>
              <w:t>第十六条</w:t>
            </w:r>
            <w:r>
              <w:rPr>
                <w:sz w:val="24"/>
              </w:rPr>
              <w:tab/>
            </w:r>
            <w:r>
              <w:rPr>
                <w:sz w:val="24"/>
              </w:rPr>
              <w:t>报考公务员，应当具备下列资格条件：</w:t>
            </w:r>
          </w:p>
          <w:p>
            <w:pPr>
              <w:pStyle w:val="7"/>
              <w:spacing w:before="6"/>
              <w:ind w:left="586"/>
              <w:rPr>
                <w:sz w:val="24"/>
              </w:rPr>
            </w:pPr>
            <w:r>
              <w:rPr>
                <w:sz w:val="24"/>
              </w:rPr>
              <w:t>（四）具有良好的品行；</w:t>
            </w:r>
          </w:p>
          <w:p>
            <w:pPr>
              <w:pStyle w:val="7"/>
              <w:spacing w:before="11"/>
              <w:ind w:left="586"/>
              <w:rPr>
                <w:sz w:val="24"/>
              </w:rPr>
            </w:pPr>
            <w:r>
              <w:rPr>
                <w:sz w:val="24"/>
              </w:rPr>
              <w:t>（八）省级以上公务员主管部门规定的拟任职位所要求的资格条件；</w:t>
            </w:r>
          </w:p>
          <w:p>
            <w:pPr>
              <w:pStyle w:val="7"/>
              <w:spacing w:before="12"/>
              <w:ind w:left="586"/>
              <w:rPr>
                <w:sz w:val="24"/>
              </w:rPr>
            </w:pPr>
            <w:r>
              <w:rPr>
                <w:sz w:val="24"/>
              </w:rPr>
              <w:t>（九）法律、法规规定的其他条件。</w:t>
            </w:r>
          </w:p>
          <w:p>
            <w:pPr>
              <w:pStyle w:val="7"/>
              <w:numPr>
                <w:ilvl w:val="0"/>
                <w:numId w:val="20"/>
              </w:numPr>
              <w:tabs>
                <w:tab w:val="left" w:pos="821"/>
                <w:tab w:val="left" w:pos="1546"/>
              </w:tabs>
              <w:spacing w:before="12" w:after="0" w:line="249" w:lineRule="auto"/>
              <w:ind w:left="586" w:right="2984" w:hanging="10"/>
              <w:jc w:val="left"/>
              <w:rPr>
                <w:sz w:val="24"/>
              </w:rPr>
            </w:pPr>
            <w:r>
              <w:rPr>
                <w:b/>
                <w:sz w:val="24"/>
              </w:rPr>
              <w:t>《事业单位公开招聘人员暂行规定》(人事部令第</w:t>
            </w:r>
            <w:r>
              <w:rPr>
                <w:b/>
                <w:spacing w:val="-65"/>
                <w:sz w:val="24"/>
              </w:rPr>
              <w:t xml:space="preserve"> </w:t>
            </w:r>
            <w:r>
              <w:rPr>
                <w:b/>
                <w:sz w:val="24"/>
              </w:rPr>
              <w:t>6</w:t>
            </w:r>
            <w:r>
              <w:rPr>
                <w:b/>
                <w:spacing w:val="-62"/>
                <w:sz w:val="24"/>
              </w:rPr>
              <w:t xml:space="preserve"> </w:t>
            </w:r>
            <w:r>
              <w:rPr>
                <w:b/>
                <w:sz w:val="24"/>
              </w:rPr>
              <w:t>号</w:t>
            </w:r>
            <w:r>
              <w:rPr>
                <w:b/>
                <w:spacing w:val="-12"/>
                <w:sz w:val="24"/>
              </w:rPr>
              <w:t xml:space="preserve">) </w:t>
            </w:r>
            <w:r>
              <w:rPr>
                <w:sz w:val="24"/>
              </w:rPr>
              <w:t>第九条</w:t>
            </w:r>
            <w:r>
              <w:rPr>
                <w:sz w:val="24"/>
              </w:rPr>
              <w:tab/>
            </w:r>
            <w:r>
              <w:rPr>
                <w:sz w:val="24"/>
              </w:rPr>
              <w:t>应聘人员必须具备下列条件：</w:t>
            </w:r>
          </w:p>
          <w:p>
            <w:pPr>
              <w:pStyle w:val="7"/>
              <w:spacing w:line="306" w:lineRule="exact"/>
              <w:ind w:left="586"/>
              <w:rPr>
                <w:sz w:val="24"/>
              </w:rPr>
            </w:pPr>
            <w:r>
              <w:rPr>
                <w:sz w:val="24"/>
              </w:rPr>
              <w:t>（一）具有中华人民共和国国籍；</w:t>
            </w:r>
          </w:p>
          <w:p>
            <w:pPr>
              <w:pStyle w:val="7"/>
              <w:spacing w:before="11" w:line="290" w:lineRule="exact"/>
              <w:ind w:left="586"/>
              <w:rPr>
                <w:sz w:val="24"/>
              </w:rPr>
            </w:pPr>
            <w:r>
              <w:rPr>
                <w:sz w:val="24"/>
              </w:rPr>
              <w:t>（二）遵守宪法和法律；</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6"/>
              </w:rPr>
            </w:pPr>
          </w:p>
          <w:p>
            <w:pPr>
              <w:pStyle w:val="7"/>
              <w:spacing w:line="249" w:lineRule="auto"/>
              <w:ind w:left="108" w:right="287"/>
              <w:jc w:val="both"/>
              <w:rPr>
                <w:sz w:val="24"/>
              </w:rPr>
            </w:pPr>
            <w:r>
              <w:rPr>
                <w:sz w:val="24"/>
              </w:rPr>
              <w:t>中央组织部、人力资源社会保障部</w:t>
            </w:r>
          </w:p>
        </w:tc>
      </w:tr>
    </w:tbl>
    <w:p>
      <w:pPr>
        <w:spacing w:after="0" w:line="249" w:lineRule="auto"/>
        <w:jc w:val="both"/>
        <w:rPr>
          <w:sz w:val="24"/>
        </w:rPr>
        <w:sectPr>
          <w:footerReference r:id="rId7" w:type="default"/>
          <w:pgSz w:w="16840" w:h="11910" w:orient="landscape"/>
          <w:pgMar w:top="1100" w:right="1240" w:bottom="1100" w:left="1240" w:header="0" w:footer="909" w:gutter="0"/>
          <w:pgNumType w:start="3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2674" w:type="dxa"/>
          </w:tcPr>
          <w:p>
            <w:pPr>
              <w:pStyle w:val="7"/>
              <w:rPr>
                <w:rFonts w:ascii="Times New Roman"/>
                <w:sz w:val="24"/>
              </w:rPr>
            </w:pPr>
          </w:p>
        </w:tc>
        <w:tc>
          <w:tcPr>
            <w:tcW w:w="9598" w:type="dxa"/>
          </w:tcPr>
          <w:p>
            <w:pPr>
              <w:pStyle w:val="7"/>
              <w:spacing w:before="5"/>
              <w:ind w:left="586"/>
              <w:rPr>
                <w:sz w:val="24"/>
              </w:rPr>
            </w:pPr>
            <w:r>
              <w:rPr>
                <w:sz w:val="24"/>
              </w:rPr>
              <w:t>（三）具有良好的品行；</w:t>
            </w:r>
          </w:p>
          <w:p>
            <w:pPr>
              <w:pStyle w:val="7"/>
              <w:spacing w:before="11"/>
              <w:ind w:left="586"/>
              <w:rPr>
                <w:sz w:val="24"/>
              </w:rPr>
            </w:pPr>
            <w:r>
              <w:rPr>
                <w:sz w:val="24"/>
              </w:rPr>
              <w:t>（四）岗位所需的专业或技能条件；</w:t>
            </w:r>
          </w:p>
          <w:p>
            <w:pPr>
              <w:pStyle w:val="7"/>
              <w:spacing w:before="12"/>
              <w:ind w:left="586"/>
              <w:rPr>
                <w:sz w:val="24"/>
              </w:rPr>
            </w:pPr>
            <w:r>
              <w:rPr>
                <w:sz w:val="24"/>
              </w:rPr>
              <w:t>（五）适应岗位要求的身体条件；</w:t>
            </w:r>
          </w:p>
          <w:p>
            <w:pPr>
              <w:pStyle w:val="7"/>
              <w:spacing w:before="12" w:line="293" w:lineRule="exact"/>
              <w:ind w:left="586"/>
              <w:rPr>
                <w:sz w:val="24"/>
              </w:rPr>
            </w:pPr>
            <w:r>
              <w:rPr>
                <w:sz w:val="24"/>
              </w:rPr>
              <w:t>（六）岗位所需要的其他条件。</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6"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0" w:line="249" w:lineRule="auto"/>
              <w:ind w:left="107" w:right="97" w:firstLine="480"/>
              <w:jc w:val="both"/>
              <w:rPr>
                <w:sz w:val="24"/>
              </w:rPr>
            </w:pPr>
            <w:r>
              <w:rPr>
                <w:sz w:val="24"/>
              </w:rPr>
              <w:t>20. 限制推荐为人大代表候选人、政协委员人选。</w:t>
            </w:r>
          </w:p>
        </w:tc>
        <w:tc>
          <w:tcPr>
            <w:tcW w:w="9598" w:type="dxa"/>
          </w:tcPr>
          <w:p>
            <w:pPr>
              <w:pStyle w:val="7"/>
              <w:spacing w:before="3" w:line="242" w:lineRule="auto"/>
              <w:ind w:left="106" w:right="59" w:firstLine="480"/>
              <w:rPr>
                <w:b/>
                <w:sz w:val="24"/>
              </w:rPr>
            </w:pPr>
            <w:r>
              <w:rPr>
                <w:b/>
                <w:sz w:val="24"/>
              </w:rPr>
              <w:t>1.《关于加强和改进非公有制经济代表人士综合评价工作的意见》（统发〔2016〕47 号）</w:t>
            </w:r>
          </w:p>
          <w:p>
            <w:pPr>
              <w:pStyle w:val="7"/>
              <w:ind w:left="586"/>
              <w:rPr>
                <w:sz w:val="24"/>
              </w:rPr>
            </w:pPr>
            <w:r>
              <w:rPr>
                <w:sz w:val="24"/>
              </w:rPr>
              <w:t>四、评价内容</w:t>
            </w:r>
          </w:p>
          <w:p>
            <w:pPr>
              <w:pStyle w:val="7"/>
              <w:spacing w:before="5"/>
              <w:ind w:left="346"/>
              <w:rPr>
                <w:sz w:val="24"/>
              </w:rPr>
            </w:pPr>
            <w:r>
              <w:rPr>
                <w:sz w:val="24"/>
              </w:rPr>
              <w:t>（三）企业守法诚信</w:t>
            </w:r>
          </w:p>
          <w:p>
            <w:pPr>
              <w:pStyle w:val="7"/>
              <w:spacing w:before="5" w:line="242" w:lineRule="auto"/>
              <w:ind w:left="106" w:right="95" w:firstLine="480"/>
              <w:rPr>
                <w:sz w:val="24"/>
              </w:rPr>
            </w:pPr>
            <w:r>
              <w:rPr>
                <w:spacing w:val="-16"/>
                <w:sz w:val="24"/>
              </w:rPr>
              <w:t>6</w:t>
            </w:r>
            <w:r>
              <w:rPr>
                <w:spacing w:val="-10"/>
                <w:sz w:val="24"/>
              </w:rPr>
              <w:t>．企业信用。主要依据国务院企业信息公示条例，根据评价对象所在企业在工商行政</w:t>
            </w:r>
            <w:r>
              <w:rPr>
                <w:sz w:val="24"/>
              </w:rPr>
              <w:t>处罚、严重违法失信和经营异常等方面的信用公示信息，考察企业守法诚信经营情况。</w:t>
            </w:r>
          </w:p>
          <w:p>
            <w:pPr>
              <w:pStyle w:val="7"/>
              <w:spacing w:before="5"/>
              <w:ind w:left="346"/>
              <w:rPr>
                <w:sz w:val="24"/>
              </w:rPr>
            </w:pPr>
            <w:r>
              <w:rPr>
                <w:sz w:val="24"/>
              </w:rPr>
              <w:t>（四）个人守法</w:t>
            </w:r>
          </w:p>
          <w:p>
            <w:pPr>
              <w:pStyle w:val="7"/>
              <w:spacing w:before="2" w:line="242" w:lineRule="auto"/>
              <w:ind w:left="106" w:right="-29" w:firstLine="480"/>
              <w:rPr>
                <w:sz w:val="24"/>
              </w:rPr>
            </w:pPr>
            <w:r>
              <w:rPr>
                <w:spacing w:val="-12"/>
                <w:sz w:val="24"/>
              </w:rPr>
              <w:t>个人守法。主要考察评价对象是否有犯罪记录或涉嫌犯罪被司法机关立案侦查或审查、</w:t>
            </w:r>
            <w:r>
              <w:rPr>
                <w:spacing w:val="-5"/>
                <w:sz w:val="24"/>
              </w:rPr>
              <w:t>对单位行贿负主要责任、近</w:t>
            </w:r>
            <w:r>
              <w:rPr>
                <w:sz w:val="24"/>
              </w:rPr>
              <w:t>5</w:t>
            </w:r>
            <w:r>
              <w:rPr>
                <w:spacing w:val="-3"/>
                <w:sz w:val="24"/>
              </w:rPr>
              <w:t>年内违反治安管理处罚法且造成恶劣社会影响、被纳入失信被执行人名单、违反计划生育法律法规等情况。</w:t>
            </w:r>
          </w:p>
          <w:p>
            <w:pPr>
              <w:pStyle w:val="7"/>
              <w:spacing w:before="2"/>
              <w:ind w:left="586"/>
              <w:rPr>
                <w:b/>
                <w:sz w:val="24"/>
              </w:rPr>
            </w:pPr>
            <w:r>
              <w:rPr>
                <w:b/>
                <w:sz w:val="24"/>
              </w:rPr>
              <w:t>2.《中共中央关于加强和改进人大代表、政协委员有关工作的通知》（中发〔2016〕</w:t>
            </w:r>
          </w:p>
          <w:p>
            <w:pPr>
              <w:pStyle w:val="7"/>
              <w:spacing w:before="4"/>
              <w:ind w:left="106"/>
              <w:rPr>
                <w:b/>
                <w:sz w:val="24"/>
              </w:rPr>
            </w:pPr>
            <w:r>
              <w:rPr>
                <w:b/>
                <w:sz w:val="24"/>
              </w:rPr>
              <w:t>3号）</w:t>
            </w:r>
          </w:p>
          <w:p>
            <w:pPr>
              <w:pStyle w:val="7"/>
              <w:spacing w:before="5"/>
              <w:ind w:left="586"/>
              <w:rPr>
                <w:sz w:val="24"/>
              </w:rPr>
            </w:pPr>
            <w:r>
              <w:rPr>
                <w:sz w:val="24"/>
              </w:rPr>
              <w:t>二、严格人选标准和条件</w:t>
            </w:r>
          </w:p>
          <w:p>
            <w:pPr>
              <w:pStyle w:val="7"/>
              <w:spacing w:before="4" w:line="242" w:lineRule="auto"/>
              <w:ind w:left="106" w:right="97" w:firstLine="480"/>
              <w:jc w:val="both"/>
              <w:rPr>
                <w:sz w:val="24"/>
              </w:rPr>
            </w:pPr>
            <w:r>
              <w:rPr>
                <w:sz w:val="24"/>
              </w:rPr>
              <w:t>对于那些政治上有问题的，严重损害国家和人民利益的，与敌对势力相勾结或接受国(境)外组织、个人参与资助或培训的，品行不端、道德败坏的，有行贿受贿、权钱交易行为的，因严重违纪违法被给予组织处理、纪律处分或被判刑以及涉嫌违纪违法正在接受调查处理的，有拉票贿选或其他不正当竞争行为的，在身份上弄虚作假或身份与代表性不一致的，没有履职能力或当选后不尽责、履职意愿不强的，一律不得推荐提名或继续提名为</w:t>
            </w:r>
          </w:p>
          <w:p>
            <w:pPr>
              <w:pStyle w:val="7"/>
              <w:spacing w:before="3" w:line="288" w:lineRule="exact"/>
              <w:ind w:left="106"/>
              <w:rPr>
                <w:sz w:val="24"/>
              </w:rPr>
            </w:pPr>
            <w:r>
              <w:rPr>
                <w:sz w:val="24"/>
              </w:rPr>
              <w:t>人大代表人选。</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0"/>
              </w:rPr>
            </w:pPr>
          </w:p>
          <w:p>
            <w:pPr>
              <w:pStyle w:val="7"/>
              <w:spacing w:line="249" w:lineRule="auto"/>
              <w:ind w:left="108" w:right="287"/>
              <w:rPr>
                <w:sz w:val="24"/>
              </w:rPr>
            </w:pPr>
            <w:r>
              <w:rPr>
                <w:sz w:val="24"/>
              </w:rPr>
              <w:t>中央统战部、中央组织部</w:t>
            </w:r>
          </w:p>
        </w:tc>
      </w:tr>
    </w:tbl>
    <w:p>
      <w:pPr>
        <w:spacing w:after="0" w:line="249" w:lineRule="auto"/>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3"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27"/>
              </w:rPr>
            </w:pPr>
          </w:p>
          <w:p>
            <w:pPr>
              <w:pStyle w:val="7"/>
              <w:spacing w:line="249" w:lineRule="auto"/>
              <w:ind w:left="107" w:right="97" w:firstLine="480"/>
              <w:jc w:val="both"/>
              <w:rPr>
                <w:sz w:val="24"/>
              </w:rPr>
            </w:pPr>
            <w:r>
              <w:rPr>
                <w:sz w:val="24"/>
              </w:rPr>
              <w:t>21. 相关市场监督管理部门提高日常监督检查频次，加大随机抽查力度。</w:t>
            </w:r>
          </w:p>
        </w:tc>
        <w:tc>
          <w:tcPr>
            <w:tcW w:w="9598" w:type="dxa"/>
          </w:tcPr>
          <w:p>
            <w:pPr>
              <w:pStyle w:val="7"/>
              <w:spacing w:before="5"/>
              <w:ind w:left="586"/>
              <w:rPr>
                <w:b/>
                <w:sz w:val="24"/>
              </w:rPr>
            </w:pPr>
            <w:r>
              <w:rPr>
                <w:b/>
                <w:spacing w:val="2"/>
                <w:w w:val="99"/>
                <w:sz w:val="24"/>
              </w:rPr>
              <w:t>1</w:t>
            </w:r>
            <w:r>
              <w:rPr>
                <w:b/>
                <w:spacing w:val="-101"/>
                <w:w w:val="99"/>
                <w:sz w:val="24"/>
              </w:rPr>
              <w:t>.</w:t>
            </w:r>
            <w:r>
              <w:rPr>
                <w:b/>
                <w:spacing w:val="-6"/>
                <w:w w:val="99"/>
                <w:sz w:val="24"/>
              </w:rPr>
              <w:t>《国务院关于印发社会信用体系建设规划纲要</w:t>
            </w:r>
            <w:r>
              <w:rPr>
                <w:b/>
                <w:w w:val="99"/>
                <w:sz w:val="24"/>
              </w:rPr>
              <w:t>（</w:t>
            </w:r>
            <w:r>
              <w:rPr>
                <w:b/>
                <w:spacing w:val="2"/>
                <w:w w:val="99"/>
                <w:sz w:val="24"/>
              </w:rPr>
              <w:t>2</w:t>
            </w:r>
            <w:r>
              <w:rPr>
                <w:b/>
                <w:w w:val="99"/>
                <w:sz w:val="24"/>
              </w:rPr>
              <w:t>0</w:t>
            </w:r>
            <w:r>
              <w:rPr>
                <w:b/>
                <w:spacing w:val="2"/>
                <w:w w:val="99"/>
                <w:sz w:val="24"/>
              </w:rPr>
              <w:t>1</w:t>
            </w:r>
            <w:r>
              <w:rPr>
                <w:b/>
                <w:w w:val="99"/>
                <w:sz w:val="24"/>
              </w:rPr>
              <w:t>4-</w:t>
            </w:r>
            <w:r>
              <w:rPr>
                <w:b/>
                <w:spacing w:val="2"/>
                <w:w w:val="99"/>
                <w:sz w:val="24"/>
              </w:rPr>
              <w:t>2</w:t>
            </w:r>
            <w:r>
              <w:rPr>
                <w:b/>
                <w:w w:val="99"/>
                <w:sz w:val="24"/>
              </w:rPr>
              <w:t>0</w:t>
            </w:r>
            <w:r>
              <w:rPr>
                <w:b/>
                <w:spacing w:val="2"/>
                <w:w w:val="99"/>
                <w:sz w:val="24"/>
              </w:rPr>
              <w:t>2</w:t>
            </w:r>
            <w:r>
              <w:rPr>
                <w:b/>
                <w:w w:val="99"/>
                <w:sz w:val="24"/>
              </w:rPr>
              <w:t>0</w:t>
            </w:r>
            <w:r>
              <w:rPr>
                <w:b/>
                <w:spacing w:val="1"/>
                <w:sz w:val="24"/>
              </w:rPr>
              <w:t xml:space="preserve"> </w:t>
            </w:r>
            <w:r>
              <w:rPr>
                <w:b/>
                <w:spacing w:val="2"/>
                <w:w w:val="99"/>
                <w:sz w:val="24"/>
              </w:rPr>
              <w:t>年</w:t>
            </w:r>
            <w:r>
              <w:rPr>
                <w:b/>
                <w:spacing w:val="-104"/>
                <w:w w:val="99"/>
                <w:sz w:val="24"/>
              </w:rPr>
              <w:t>）</w:t>
            </w:r>
            <w:r>
              <w:rPr>
                <w:b/>
                <w:spacing w:val="2"/>
                <w:w w:val="99"/>
                <w:sz w:val="24"/>
              </w:rPr>
              <w:t>的通知</w:t>
            </w:r>
            <w:r>
              <w:rPr>
                <w:b/>
                <w:spacing w:val="-204"/>
                <w:w w:val="99"/>
                <w:sz w:val="24"/>
              </w:rPr>
              <w:t>》</w:t>
            </w:r>
            <w:r>
              <w:rPr>
                <w:b/>
                <w:w w:val="99"/>
                <w:sz w:val="24"/>
              </w:rPr>
              <w:t>（</w:t>
            </w:r>
            <w:r>
              <w:rPr>
                <w:b/>
                <w:spacing w:val="-33"/>
                <w:w w:val="99"/>
                <w:sz w:val="24"/>
              </w:rPr>
              <w:t>国发〔</w:t>
            </w:r>
            <w:r>
              <w:rPr>
                <w:b/>
                <w:spacing w:val="2"/>
                <w:w w:val="99"/>
                <w:sz w:val="24"/>
              </w:rPr>
              <w:t>2</w:t>
            </w:r>
            <w:r>
              <w:rPr>
                <w:b/>
                <w:w w:val="99"/>
                <w:sz w:val="24"/>
              </w:rPr>
              <w:t>014</w:t>
            </w:r>
          </w:p>
          <w:p>
            <w:pPr>
              <w:pStyle w:val="7"/>
              <w:spacing w:before="11"/>
              <w:ind w:left="106"/>
              <w:rPr>
                <w:b/>
                <w:sz w:val="24"/>
              </w:rPr>
            </w:pPr>
            <w:r>
              <w:rPr>
                <w:b/>
                <w:sz w:val="24"/>
              </w:rPr>
              <w:t>21 号）</w:t>
            </w:r>
          </w:p>
          <w:p>
            <w:pPr>
              <w:pStyle w:val="7"/>
              <w:spacing w:before="12"/>
              <w:ind w:left="586"/>
              <w:rPr>
                <w:sz w:val="24"/>
              </w:rPr>
            </w:pPr>
            <w:r>
              <w:rPr>
                <w:sz w:val="24"/>
              </w:rPr>
              <w:t>五、完善以奖惩制度为重点的社会信用体系运行机制</w:t>
            </w:r>
          </w:p>
          <w:p>
            <w:pPr>
              <w:pStyle w:val="7"/>
              <w:spacing w:before="12"/>
              <w:ind w:left="586"/>
              <w:rPr>
                <w:sz w:val="24"/>
              </w:rPr>
            </w:pPr>
            <w:r>
              <w:rPr>
                <w:sz w:val="24"/>
              </w:rPr>
              <w:t>（一）构建守信激励和失信惩戒机制。</w:t>
            </w:r>
          </w:p>
          <w:p>
            <w:pPr>
              <w:pStyle w:val="7"/>
              <w:spacing w:before="12" w:line="249" w:lineRule="auto"/>
              <w:ind w:left="106" w:right="97" w:firstLine="480"/>
              <w:jc w:val="both"/>
              <w:rPr>
                <w:sz w:val="24"/>
              </w:rPr>
            </w:pPr>
            <w:r>
              <w:rPr>
                <w:sz w:val="24"/>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 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 约束社会成员的失信行为。</w:t>
            </w:r>
          </w:p>
          <w:p>
            <w:pPr>
              <w:pStyle w:val="7"/>
              <w:spacing w:before="12" w:line="249" w:lineRule="auto"/>
              <w:ind w:left="106" w:right="97" w:firstLine="480"/>
              <w:rPr>
                <w:sz w:val="24"/>
              </w:rPr>
            </w:pPr>
            <w:r>
              <w:rPr>
                <w:sz w:val="24"/>
              </w:rPr>
              <w:t>建立多部门、跨地区信用联合奖惩机制。通过信用信息交换共享，实现多部门、跨地区信用奖惩联动，使守信者处处受益、失信者寸步难行。</w:t>
            </w:r>
          </w:p>
          <w:p>
            <w:pPr>
              <w:pStyle w:val="7"/>
              <w:numPr>
                <w:ilvl w:val="0"/>
                <w:numId w:val="21"/>
              </w:numPr>
              <w:tabs>
                <w:tab w:val="left" w:pos="831"/>
              </w:tabs>
              <w:spacing w:before="0" w:after="0" w:line="249" w:lineRule="auto"/>
              <w:ind w:left="106" w:right="64" w:firstLine="480"/>
              <w:jc w:val="left"/>
              <w:rPr>
                <w:b/>
                <w:sz w:val="24"/>
              </w:rPr>
            </w:pPr>
            <w:r>
              <w:rPr>
                <w:b/>
                <w:sz w:val="24"/>
              </w:rPr>
              <w:t>《国务院关于建立完善守信联合激励和失信联合惩戒制度加快推进社会诚信建设 的指导意见》（国发〔2016〕33</w:t>
            </w:r>
            <w:r>
              <w:rPr>
                <w:b/>
                <w:spacing w:val="-31"/>
                <w:sz w:val="24"/>
              </w:rPr>
              <w:t xml:space="preserve"> 号</w:t>
            </w:r>
            <w:r>
              <w:rPr>
                <w:b/>
                <w:sz w:val="24"/>
              </w:rPr>
              <w:t>）</w:t>
            </w:r>
          </w:p>
          <w:p>
            <w:pPr>
              <w:pStyle w:val="7"/>
              <w:spacing w:line="249" w:lineRule="auto"/>
              <w:ind w:left="106" w:right="97" w:firstLine="480"/>
              <w:rPr>
                <w:sz w:val="24"/>
              </w:rPr>
            </w:pPr>
            <w:r>
              <w:rPr>
                <w:sz w:val="24"/>
              </w:rPr>
              <w:t>（十）依法依规加强对失信行为的行政性约束和惩戒。对严重失信主体，各地区、各有关部门应将其列为重点监管对象，依法依规采取行政性约束和惩戒措施。</w:t>
            </w:r>
          </w:p>
          <w:p>
            <w:pPr>
              <w:pStyle w:val="7"/>
              <w:numPr>
                <w:ilvl w:val="0"/>
                <w:numId w:val="21"/>
              </w:numPr>
              <w:tabs>
                <w:tab w:val="left" w:pos="831"/>
              </w:tabs>
              <w:spacing w:before="0" w:after="0" w:line="288" w:lineRule="exact"/>
              <w:ind w:left="830" w:right="0" w:hanging="245"/>
              <w:jc w:val="left"/>
              <w:rPr>
                <w:b/>
                <w:sz w:val="24"/>
              </w:rPr>
            </w:pPr>
            <w:r>
              <w:rPr>
                <w:b/>
                <w:spacing w:val="-1"/>
                <w:sz w:val="24"/>
              </w:rPr>
              <w:t>《国务院办公厅关于推广随机抽查规范事中事后监管的通知》</w:t>
            </w:r>
            <w:r>
              <w:rPr>
                <w:b/>
                <w:sz w:val="24"/>
              </w:rPr>
              <w:t>（国办发〔2015</w:t>
            </w:r>
            <w:r>
              <w:rPr>
                <w:b/>
                <w:spacing w:val="-3"/>
                <w:sz w:val="24"/>
              </w:rPr>
              <w:t>〕</w:t>
            </w:r>
            <w:r>
              <w:rPr>
                <w:b/>
                <w:sz w:val="24"/>
              </w:rPr>
              <w:t>58</w:t>
            </w:r>
          </w:p>
        </w:tc>
        <w:tc>
          <w:tcPr>
            <w:tcW w:w="1848" w:type="dxa"/>
          </w:tcPr>
          <w:p>
            <w:pPr>
              <w:pStyle w:val="7"/>
              <w:spacing w:before="5"/>
              <w:ind w:left="-189"/>
              <w:rPr>
                <w:b/>
                <w:sz w:val="24"/>
              </w:rPr>
            </w:pPr>
            <w:r>
              <w:rPr>
                <w:b/>
                <w:w w:val="99"/>
                <w:sz w:val="24"/>
              </w:rPr>
              <w:t>〕</w:t>
            </w: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8"/>
              </w:rPr>
            </w:pPr>
          </w:p>
          <w:p>
            <w:pPr>
              <w:pStyle w:val="7"/>
              <w:spacing w:line="249" w:lineRule="auto"/>
              <w:ind w:left="108" w:right="287"/>
              <w:rPr>
                <w:sz w:val="24"/>
              </w:rPr>
            </w:pPr>
            <w:r>
              <w:rPr>
                <w:sz w:val="24"/>
              </w:rPr>
              <w:t>各市场监管、行业主管部门</w:t>
            </w:r>
          </w:p>
        </w:tc>
      </w:tr>
    </w:tbl>
    <w:p>
      <w:pPr>
        <w:spacing w:after="0" w:line="249" w:lineRule="auto"/>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2674" w:type="dxa"/>
          </w:tcPr>
          <w:p>
            <w:pPr>
              <w:pStyle w:val="7"/>
              <w:rPr>
                <w:rFonts w:ascii="Times New Roman"/>
                <w:sz w:val="24"/>
              </w:rPr>
            </w:pPr>
          </w:p>
        </w:tc>
        <w:tc>
          <w:tcPr>
            <w:tcW w:w="9598" w:type="dxa"/>
          </w:tcPr>
          <w:p>
            <w:pPr>
              <w:pStyle w:val="7"/>
              <w:spacing w:before="5"/>
              <w:ind w:left="106"/>
              <w:rPr>
                <w:b/>
                <w:sz w:val="24"/>
              </w:rPr>
            </w:pPr>
            <w:r>
              <w:rPr>
                <w:b/>
                <w:sz w:val="24"/>
              </w:rPr>
              <w:t>号）</w:t>
            </w:r>
          </w:p>
          <w:p>
            <w:pPr>
              <w:pStyle w:val="7"/>
              <w:spacing w:before="11"/>
              <w:ind w:left="586"/>
              <w:rPr>
                <w:sz w:val="24"/>
              </w:rPr>
            </w:pPr>
            <w:r>
              <w:rPr>
                <w:sz w:val="24"/>
              </w:rPr>
              <w:t>二、大力推广随机抽查监管</w:t>
            </w:r>
          </w:p>
          <w:p>
            <w:pPr>
              <w:pStyle w:val="7"/>
              <w:spacing w:line="320" w:lineRule="atLeast"/>
              <w:ind w:left="106" w:right="97" w:firstLine="480"/>
              <w:rPr>
                <w:sz w:val="24"/>
              </w:rPr>
            </w:pPr>
            <w:r>
              <w:rPr>
                <w:sz w:val="24"/>
              </w:rPr>
              <w:t>（三）合理确定随机抽查的比例和频次。对投诉举报多、列入经营异常名录或有严重违法违规记录等情况的市场主体，要加大随机抽查力度。</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8"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0" w:line="249" w:lineRule="auto"/>
              <w:ind w:left="107" w:right="94" w:firstLine="360"/>
              <w:jc w:val="both"/>
              <w:rPr>
                <w:sz w:val="24"/>
              </w:rPr>
            </w:pPr>
            <w:r>
              <w:rPr>
                <w:sz w:val="24"/>
              </w:rPr>
              <w:t>22.通过中国文化市场网、“信用中国”网站和国家企业信用信息公示系统依法向社会公布。</w:t>
            </w:r>
          </w:p>
        </w:tc>
        <w:tc>
          <w:tcPr>
            <w:tcW w:w="9598" w:type="dxa"/>
          </w:tcPr>
          <w:p>
            <w:pPr>
              <w:pStyle w:val="7"/>
              <w:numPr>
                <w:ilvl w:val="0"/>
                <w:numId w:val="22"/>
              </w:numPr>
              <w:tabs>
                <w:tab w:val="left" w:pos="831"/>
              </w:tabs>
              <w:spacing w:before="5" w:after="0" w:line="240" w:lineRule="auto"/>
              <w:ind w:left="830" w:right="0" w:hanging="245"/>
              <w:jc w:val="left"/>
              <w:rPr>
                <w:b/>
                <w:sz w:val="24"/>
              </w:rPr>
            </w:pPr>
            <w:r>
              <w:rPr>
                <w:b/>
                <w:sz w:val="24"/>
              </w:rPr>
              <w:t>《企业信息公示暂行条例》（</w:t>
            </w:r>
            <w:r>
              <w:rPr>
                <w:b/>
                <w:spacing w:val="-11"/>
                <w:sz w:val="24"/>
              </w:rPr>
              <w:t xml:space="preserve">国务院令第 </w:t>
            </w:r>
            <w:r>
              <w:rPr>
                <w:b/>
                <w:sz w:val="24"/>
              </w:rPr>
              <w:t>654 号）</w:t>
            </w:r>
          </w:p>
          <w:p>
            <w:pPr>
              <w:pStyle w:val="7"/>
              <w:spacing w:before="12" w:line="249" w:lineRule="auto"/>
              <w:ind w:left="106" w:right="95" w:firstLine="480"/>
              <w:rPr>
                <w:sz w:val="24"/>
              </w:rPr>
            </w:pPr>
            <w:r>
              <w:rPr>
                <w:spacing w:val="-3"/>
                <w:sz w:val="24"/>
              </w:rPr>
              <w:t>第七条 工商行政管理部门以外的其他政府部门</w:t>
            </w:r>
            <w:r>
              <w:rPr>
                <w:sz w:val="24"/>
              </w:rPr>
              <w:t>（以下简称其他政府部门</w:t>
            </w:r>
            <w:r>
              <w:rPr>
                <w:spacing w:val="-48"/>
                <w:sz w:val="24"/>
              </w:rPr>
              <w:t>）</w:t>
            </w:r>
            <w:r>
              <w:rPr>
                <w:spacing w:val="-4"/>
                <w:sz w:val="24"/>
              </w:rPr>
              <w:t>应当公示其</w:t>
            </w:r>
            <w:r>
              <w:rPr>
                <w:sz w:val="24"/>
              </w:rPr>
              <w:t>在履行职责过程中产生的下列企业信息：</w:t>
            </w:r>
          </w:p>
          <w:p>
            <w:pPr>
              <w:pStyle w:val="7"/>
              <w:spacing w:line="306" w:lineRule="exact"/>
              <w:ind w:left="466"/>
              <w:rPr>
                <w:sz w:val="24"/>
              </w:rPr>
            </w:pPr>
            <w:r>
              <w:rPr>
                <w:sz w:val="24"/>
              </w:rPr>
              <w:t>（一）行政许可准予、变更、延续信息；</w:t>
            </w:r>
          </w:p>
          <w:p>
            <w:pPr>
              <w:pStyle w:val="7"/>
              <w:spacing w:before="12"/>
              <w:ind w:left="466"/>
              <w:rPr>
                <w:sz w:val="24"/>
              </w:rPr>
            </w:pPr>
            <w:r>
              <w:rPr>
                <w:sz w:val="24"/>
              </w:rPr>
              <w:t>（二）行政处罚信息；</w:t>
            </w:r>
          </w:p>
          <w:p>
            <w:pPr>
              <w:pStyle w:val="7"/>
              <w:spacing w:before="11"/>
              <w:ind w:left="466"/>
              <w:rPr>
                <w:sz w:val="24"/>
              </w:rPr>
            </w:pPr>
            <w:r>
              <w:rPr>
                <w:sz w:val="24"/>
              </w:rPr>
              <w:t>（三）其他依法应当公示的信息。</w:t>
            </w:r>
          </w:p>
          <w:p>
            <w:pPr>
              <w:pStyle w:val="7"/>
              <w:spacing w:before="12" w:line="249" w:lineRule="auto"/>
              <w:ind w:left="106" w:right="97" w:firstLine="480"/>
              <w:jc w:val="both"/>
              <w:rPr>
                <w:sz w:val="24"/>
              </w:rPr>
            </w:pPr>
            <w:r>
              <w:rPr>
                <w:sz w:val="24"/>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pPr>
              <w:pStyle w:val="7"/>
              <w:numPr>
                <w:ilvl w:val="0"/>
                <w:numId w:val="22"/>
              </w:numPr>
              <w:tabs>
                <w:tab w:val="left" w:pos="821"/>
              </w:tabs>
              <w:spacing w:before="0" w:after="0" w:line="249" w:lineRule="auto"/>
              <w:ind w:left="106" w:right="64" w:firstLine="470"/>
              <w:jc w:val="both"/>
              <w:rPr>
                <w:b/>
                <w:sz w:val="24"/>
              </w:rPr>
            </w:pPr>
            <w:r>
              <w:rPr>
                <w:b/>
                <w:spacing w:val="-1"/>
                <w:sz w:val="24"/>
              </w:rPr>
              <w:t>中共中央办公厅 国务院办公厅印发《关于进一步深化文化市场综合执法改革的意见》（中办发〔2016〕20</w:t>
            </w:r>
            <w:r>
              <w:rPr>
                <w:b/>
                <w:spacing w:val="-31"/>
                <w:sz w:val="24"/>
              </w:rPr>
              <w:t xml:space="preserve"> 号</w:t>
            </w:r>
            <w:r>
              <w:rPr>
                <w:b/>
                <w:sz w:val="24"/>
              </w:rPr>
              <w:t>）</w:t>
            </w:r>
          </w:p>
          <w:p>
            <w:pPr>
              <w:pStyle w:val="7"/>
              <w:spacing w:line="306" w:lineRule="exact"/>
              <w:ind w:left="586"/>
              <w:rPr>
                <w:sz w:val="24"/>
              </w:rPr>
            </w:pPr>
            <w:r>
              <w:rPr>
                <w:sz w:val="24"/>
              </w:rPr>
              <w:t>三、重点任务</w:t>
            </w:r>
          </w:p>
          <w:p>
            <w:pPr>
              <w:pStyle w:val="7"/>
              <w:spacing w:before="11" w:line="249" w:lineRule="auto"/>
              <w:ind w:left="106" w:right="97" w:firstLine="480"/>
              <w:jc w:val="both"/>
              <w:rPr>
                <w:sz w:val="24"/>
              </w:rPr>
            </w:pPr>
            <w:r>
              <w:rPr>
                <w:sz w:val="24"/>
              </w:rPr>
              <w:t>(五)完善文化市场信用体系。建立健全文化市场警示名单和黑名单制度，对从事违法违规经营、屡查屡犯的经营单位和个人，依法公开其违法违规记录，使失信违规者在市场交易中受到制约和限制。</w:t>
            </w:r>
          </w:p>
          <w:p>
            <w:pPr>
              <w:pStyle w:val="7"/>
              <w:numPr>
                <w:ilvl w:val="0"/>
                <w:numId w:val="22"/>
              </w:numPr>
              <w:tabs>
                <w:tab w:val="left" w:pos="833"/>
              </w:tabs>
              <w:spacing w:before="0" w:after="0" w:line="306" w:lineRule="exact"/>
              <w:ind w:left="832" w:right="0" w:hanging="244"/>
              <w:jc w:val="left"/>
              <w:rPr>
                <w:b/>
                <w:sz w:val="24"/>
              </w:rPr>
            </w:pPr>
            <w:r>
              <w:rPr>
                <w:b/>
                <w:spacing w:val="-1"/>
                <w:sz w:val="24"/>
              </w:rPr>
              <w:t>《国务院办公厅关于运用大数据加强对市场主体服务和监管的若干意见》</w:t>
            </w:r>
            <w:r>
              <w:rPr>
                <w:b/>
                <w:sz w:val="24"/>
              </w:rPr>
              <w:t>（国办发</w:t>
            </w:r>
          </w:p>
          <w:p>
            <w:pPr>
              <w:pStyle w:val="7"/>
              <w:spacing w:before="12"/>
              <w:ind w:left="106"/>
              <w:rPr>
                <w:b/>
                <w:sz w:val="24"/>
              </w:rPr>
            </w:pPr>
            <w:r>
              <w:rPr>
                <w:b/>
                <w:sz w:val="24"/>
              </w:rPr>
              <w:t>〔2015〕51 号）</w:t>
            </w:r>
          </w:p>
          <w:p>
            <w:pPr>
              <w:pStyle w:val="7"/>
              <w:spacing w:line="320" w:lineRule="atLeast"/>
              <w:ind w:left="106" w:right="97" w:firstLine="480"/>
              <w:rPr>
                <w:sz w:val="24"/>
              </w:rPr>
            </w:pPr>
            <w:r>
              <w:rPr>
                <w:sz w:val="24"/>
              </w:rPr>
              <w:t>（十九）大力推进市场主体信息公示。严格执行《企业信息公示暂行条例》，加快实施经营异常名录制度和严重违法失信企业名单制度。建设国家企业信用信息公示系统，依</w:t>
            </w:r>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30"/>
              </w:rPr>
            </w:pPr>
          </w:p>
          <w:p>
            <w:pPr>
              <w:pStyle w:val="7"/>
              <w:spacing w:line="247" w:lineRule="auto"/>
              <w:ind w:left="5" w:right="97"/>
              <w:jc w:val="both"/>
              <w:rPr>
                <w:sz w:val="24"/>
              </w:rPr>
            </w:pPr>
            <w:r>
              <w:rPr>
                <w:sz w:val="24"/>
              </w:rPr>
              <w:t>文化和旅游部、国家 发展改革委、市场监管总局</w:t>
            </w:r>
          </w:p>
        </w:tc>
      </w:tr>
    </w:tbl>
    <w:p>
      <w:pPr>
        <w:spacing w:after="0"/>
        <w:rPr>
          <w:sz w:val="24"/>
        </w:rPr>
        <w:sectPr>
          <w:pgSz w:w="16840" w:h="11910" w:orient="landscape"/>
          <w:pgMar w:top="1100" w:right="1240" w:bottom="1100" w:left="1240" w:header="0" w:footer="909" w:gutter="0"/>
        </w:sectPr>
      </w:pPr>
    </w:p>
    <w:p>
      <w:pPr>
        <w:pStyle w:val="2"/>
        <w:rPr>
          <w:rFonts w:ascii="Times New Roman"/>
          <w:sz w:val="20"/>
        </w:rPr>
      </w:pPr>
    </w:p>
    <w:p>
      <w:pPr>
        <w:pStyle w:val="2"/>
        <w:rPr>
          <w:rFonts w:ascii="Times New Roman"/>
          <w:sz w:val="20"/>
        </w:rPr>
      </w:pPr>
    </w:p>
    <w:p>
      <w:pPr>
        <w:pStyle w:val="2"/>
        <w:spacing w:before="7"/>
        <w:rPr>
          <w:rFonts w:ascii="Times New Roman"/>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959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4" w:hRule="atLeast"/>
        </w:trPr>
        <w:tc>
          <w:tcPr>
            <w:tcW w:w="2674" w:type="dxa"/>
          </w:tcPr>
          <w:p>
            <w:pPr>
              <w:pStyle w:val="7"/>
              <w:rPr>
                <w:rFonts w:ascii="Times New Roman"/>
                <w:sz w:val="24"/>
              </w:rPr>
            </w:pPr>
          </w:p>
        </w:tc>
        <w:tc>
          <w:tcPr>
            <w:tcW w:w="9598" w:type="dxa"/>
          </w:tcPr>
          <w:p>
            <w:pPr>
              <w:pStyle w:val="7"/>
              <w:spacing w:before="5" w:line="249" w:lineRule="auto"/>
              <w:ind w:left="106" w:right="95"/>
              <w:jc w:val="both"/>
              <w:rPr>
                <w:sz w:val="24"/>
              </w:rPr>
            </w:pPr>
            <w:r>
              <w:rPr>
                <w:sz w:val="24"/>
              </w:rPr>
              <w:t>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w:t>
            </w:r>
          </w:p>
          <w:p>
            <w:pPr>
              <w:pStyle w:val="7"/>
              <w:spacing w:line="290" w:lineRule="exact"/>
              <w:ind w:left="106" w:right="-29"/>
              <w:rPr>
                <w:sz w:val="24"/>
              </w:rPr>
            </w:pPr>
            <w:r>
              <w:rPr>
                <w:spacing w:val="-9"/>
                <w:sz w:val="24"/>
              </w:rPr>
              <w:t>站连接，并将本单位政务公开信息和相关市场主体违法违规信息在“信用中国”网站公开。</w:t>
            </w:r>
          </w:p>
        </w:tc>
        <w:tc>
          <w:tcPr>
            <w:tcW w:w="1848"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6" w:hRule="atLeast"/>
        </w:trPr>
        <w:tc>
          <w:tcPr>
            <w:tcW w:w="26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9"/>
              </w:rPr>
            </w:pPr>
          </w:p>
          <w:p>
            <w:pPr>
              <w:pStyle w:val="7"/>
              <w:spacing w:line="249" w:lineRule="auto"/>
              <w:ind w:left="107" w:right="97" w:firstLine="480"/>
              <w:jc w:val="both"/>
              <w:rPr>
                <w:sz w:val="24"/>
              </w:rPr>
            </w:pPr>
            <w:r>
              <w:rPr>
                <w:sz w:val="24"/>
              </w:rPr>
              <w:t>23. 将失信信息纳入信用信息基础数据库，记入企业及个人信用记录。</w:t>
            </w:r>
          </w:p>
        </w:tc>
        <w:tc>
          <w:tcPr>
            <w:tcW w:w="9598" w:type="dxa"/>
          </w:tcPr>
          <w:p>
            <w:pPr>
              <w:pStyle w:val="7"/>
              <w:numPr>
                <w:ilvl w:val="0"/>
                <w:numId w:val="23"/>
              </w:numPr>
              <w:tabs>
                <w:tab w:val="left" w:pos="821"/>
              </w:tabs>
              <w:spacing w:before="5" w:after="0" w:line="240" w:lineRule="auto"/>
              <w:ind w:left="820" w:right="0" w:hanging="244"/>
              <w:jc w:val="left"/>
              <w:rPr>
                <w:b/>
                <w:sz w:val="24"/>
              </w:rPr>
            </w:pPr>
            <w:r>
              <w:rPr>
                <w:b/>
                <w:sz w:val="24"/>
              </w:rPr>
              <w:t>《征信业管理条例》（</w:t>
            </w:r>
            <w:r>
              <w:rPr>
                <w:b/>
                <w:spacing w:val="-11"/>
                <w:sz w:val="24"/>
              </w:rPr>
              <w:t xml:space="preserve">国务院令第 </w:t>
            </w:r>
            <w:r>
              <w:rPr>
                <w:b/>
                <w:sz w:val="24"/>
              </w:rPr>
              <w:t>631</w:t>
            </w:r>
            <w:r>
              <w:rPr>
                <w:b/>
                <w:spacing w:val="-30"/>
                <w:sz w:val="24"/>
              </w:rPr>
              <w:t xml:space="preserve"> 号</w:t>
            </w:r>
            <w:r>
              <w:rPr>
                <w:b/>
                <w:sz w:val="24"/>
              </w:rPr>
              <w:t>）</w:t>
            </w:r>
          </w:p>
          <w:p>
            <w:pPr>
              <w:pStyle w:val="7"/>
              <w:tabs>
                <w:tab w:val="left" w:pos="2031"/>
              </w:tabs>
              <w:spacing w:before="12" w:line="249" w:lineRule="auto"/>
              <w:ind w:left="106" w:right="97" w:firstLine="480"/>
              <w:rPr>
                <w:sz w:val="24"/>
              </w:rPr>
            </w:pPr>
            <w:r>
              <w:rPr>
                <w:sz w:val="24"/>
              </w:rPr>
              <w:t>第二十一条</w:t>
            </w:r>
            <w:r>
              <w:rPr>
                <w:sz w:val="24"/>
              </w:rPr>
              <w:tab/>
            </w:r>
            <w:r>
              <w:rPr>
                <w:sz w:val="24"/>
              </w:rPr>
              <w:t>征信机构可以通过信息主体、企业交易对方、行业协会提供信息，政</w:t>
            </w:r>
            <w:r>
              <w:rPr>
                <w:spacing w:val="-14"/>
                <w:sz w:val="24"/>
              </w:rPr>
              <w:t>府</w:t>
            </w:r>
            <w:r>
              <w:rPr>
                <w:sz w:val="24"/>
              </w:rPr>
              <w:t>有关部门依法已公开的信息，人民法院依法公布的判决、裁定等渠道，采集企业信息。</w:t>
            </w:r>
          </w:p>
          <w:p>
            <w:pPr>
              <w:pStyle w:val="7"/>
              <w:numPr>
                <w:ilvl w:val="0"/>
                <w:numId w:val="23"/>
              </w:numPr>
              <w:tabs>
                <w:tab w:val="left" w:pos="833"/>
              </w:tabs>
              <w:spacing w:before="0" w:after="0" w:line="249" w:lineRule="auto"/>
              <w:ind w:left="106" w:right="59" w:firstLine="482"/>
              <w:jc w:val="left"/>
              <w:rPr>
                <w:b/>
                <w:sz w:val="24"/>
              </w:rPr>
            </w:pPr>
            <w:r>
              <w:rPr>
                <w:b/>
                <w:sz w:val="24"/>
              </w:rPr>
              <w:t>《国务院关于建立完善守信联合激励和失信联合惩戒制度加快推进社会诚信建设 的指导意见》（国发〔2016〕33</w:t>
            </w:r>
            <w:r>
              <w:rPr>
                <w:b/>
                <w:spacing w:val="-31"/>
                <w:sz w:val="24"/>
              </w:rPr>
              <w:t xml:space="preserve"> 号</w:t>
            </w:r>
            <w:r>
              <w:rPr>
                <w:b/>
                <w:sz w:val="24"/>
              </w:rPr>
              <w:t>）</w:t>
            </w:r>
          </w:p>
          <w:p>
            <w:pPr>
              <w:pStyle w:val="7"/>
              <w:spacing w:line="249" w:lineRule="auto"/>
              <w:ind w:left="106" w:right="95" w:firstLine="480"/>
              <w:rPr>
                <w:sz w:val="24"/>
              </w:rPr>
            </w:pPr>
            <w:r>
              <w:rPr>
                <w:sz w:val="24"/>
              </w:rPr>
              <w:t>（十一）加强对失信行为的市场性约束和惩戒。支持征信机构采集严重失信行为信息，纳入信用记录和信用报告。</w:t>
            </w:r>
          </w:p>
          <w:p>
            <w:pPr>
              <w:pStyle w:val="7"/>
              <w:spacing w:before="7" w:line="249" w:lineRule="auto"/>
              <w:ind w:left="106" w:right="97" w:firstLine="480"/>
              <w:jc w:val="both"/>
              <w:rPr>
                <w:sz w:val="24"/>
              </w:rPr>
            </w:pPr>
            <w:r>
              <w:rPr>
                <w:sz w:val="24"/>
              </w:rPr>
              <w:t>（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w:t>
            </w:r>
          </w:p>
          <w:p>
            <w:pPr>
              <w:pStyle w:val="7"/>
              <w:spacing w:line="291" w:lineRule="exact"/>
              <w:ind w:left="106"/>
              <w:rPr>
                <w:sz w:val="24"/>
              </w:rPr>
            </w:pPr>
            <w:r>
              <w:rPr>
                <w:sz w:val="24"/>
              </w:rPr>
              <w:t>联合惩戒机制，使失信惩戒措施落实到人。</w:t>
            </w:r>
            <w:bookmarkStart w:id="0" w:name="_GoBack"/>
            <w:bookmarkEnd w:id="0"/>
          </w:p>
        </w:tc>
        <w:tc>
          <w:tcPr>
            <w:tcW w:w="1848"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3"/>
              </w:rPr>
            </w:pPr>
          </w:p>
          <w:p>
            <w:pPr>
              <w:pStyle w:val="7"/>
              <w:ind w:left="108"/>
              <w:rPr>
                <w:sz w:val="24"/>
              </w:rPr>
            </w:pPr>
            <w:r>
              <w:rPr>
                <w:sz w:val="24"/>
              </w:rPr>
              <w:t>人民银行</w:t>
            </w:r>
          </w:p>
        </w:tc>
      </w:tr>
    </w:tbl>
    <w:p/>
    <w:sectPr>
      <w:pgSz w:w="16840" w:h="11910" w:orient="landscape"/>
      <w:pgMar w:top="1100" w:right="1240" w:bottom="1100" w:left="1240" w:header="0" w:footer="90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铁筋隶书繁体">
    <w:altName w:val="隶书"/>
    <w:panose1 w:val="00000000000000000000"/>
    <w:charset w:val="86"/>
    <w:family w:val="script"/>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43744" behindDoc="1" locked="0" layoutInCell="1" allowOverlap="1">
              <wp:simplePos x="0" y="0"/>
              <wp:positionH relativeFrom="page">
                <wp:posOffset>3716020</wp:posOffset>
              </wp:positionH>
              <wp:positionV relativeFrom="page">
                <wp:posOffset>9923780</wp:posOffset>
              </wp:positionV>
              <wp:extent cx="127000"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6pt;margin-top:781.4pt;height:15.3pt;width:10pt;mso-position-horizontal-relative:page;mso-position-vertical-relative:page;z-index:-253172736;mso-width-relative:page;mso-height-relative:page;" filled="f" stroked="f" coordsize="21600,21600" o:gfxdata="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vPWYdkAAAANAQAADwAAAAAAAAAB&#10;ACAAAAAiAAAAZHJzL2Rvd25yZXYueG1sUEsBAhQAFAAAAAgAh07iQEUX9fCdAQAAIwMAAA4AAAAA&#10;AAAAAQAgAAAAKAEAAGRycy9lMm9Eb2MueG1sUEsFBgAAAAAGAAYAWQEAADc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44768" behindDoc="1" locked="0" layoutInCell="1" allowOverlap="1">
              <wp:simplePos x="0" y="0"/>
              <wp:positionH relativeFrom="page">
                <wp:posOffset>5282565</wp:posOffset>
              </wp:positionH>
              <wp:positionV relativeFrom="page">
                <wp:posOffset>6791960</wp:posOffset>
              </wp:positionV>
              <wp:extent cx="127000" cy="1943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5.95pt;margin-top:534.8pt;height:15.3pt;width:10pt;mso-position-horizontal-relative:page;mso-position-vertical-relative:page;z-index:-253171712;mso-width-relative:page;mso-height-relative:page;" filled="f" stroked="f" coordsize="21600,21600" o:gfxdata="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uMvbZAAAADQEAAA8AAAAAAAAA&#10;AQAgAAAAIgAAAGRycy9kb3ducmV2LnhtbFBLAQIUABQAAAAIAIdO4kAbA/7OngEAACMDAAAOAAAA&#10;AAAAAAEAIAAAACgBAABkcnMvZTJvRG9jLnhtbFBLBQYAAAAABgAGAFkBAAA4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45792" behindDoc="1" locked="0" layoutInCell="1" allowOverlap="1">
              <wp:simplePos x="0" y="0"/>
              <wp:positionH relativeFrom="page">
                <wp:posOffset>5244465</wp:posOffset>
              </wp:positionH>
              <wp:positionV relativeFrom="page">
                <wp:posOffset>6791960</wp:posOffset>
              </wp:positionV>
              <wp:extent cx="203200" cy="194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95pt;margin-top:534.8pt;height:15.3pt;width:16pt;mso-position-horizontal-relative:page;mso-position-vertical-relative:page;z-index:-253170688;mso-width-relative:page;mso-height-relative:page;" filled="f" stroked="f" coordsize="21600,21600" o:gfxdata="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y7Kr2gAAAA0BAAAPAAAAAAAA&#10;AAEAIAAAACIAAABkcnMvZG93bnJldi54bWxQSwECFAAUAAAACACHTuJALn22pZ4BAAAjAwAADgAA&#10;AAAAAAABACAAAAApAQAAZHJzL2Uyb0RvYy54bWxQSwUGAAAAAAYABgBZAQAAOQU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46816" behindDoc="1" locked="0" layoutInCell="1" allowOverlap="1">
              <wp:simplePos x="0" y="0"/>
              <wp:positionH relativeFrom="page">
                <wp:posOffset>5244465</wp:posOffset>
              </wp:positionH>
              <wp:positionV relativeFrom="page">
                <wp:posOffset>6791960</wp:posOffset>
              </wp:positionV>
              <wp:extent cx="203200" cy="1943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95pt;margin-top:534.8pt;height:15.3pt;width:16pt;mso-position-horizontal-relative:page;mso-position-vertical-relative:page;z-index:-253169664;mso-width-relative:page;mso-height-relative:page;" filled="f" stroked="f" coordsize="21600,21600" o:gfxdata="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y7Kr2gAAAA0BAAAPAAAAAAAA&#10;AAEAIAAAACIAAABkcnMvZG93bnJldi54bWxQSwECFAAUAAAACACHTuJAZ6SJep4BAAAjAwAADgAA&#10;AAAAAAABACAAAAApAQAAZHJzL2Uyb0RvYy54bWxQSwUGAAAAAAYABgBZAQAAOQU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47840" behindDoc="1" locked="0" layoutInCell="1" allowOverlap="1">
              <wp:simplePos x="0" y="0"/>
              <wp:positionH relativeFrom="page">
                <wp:posOffset>5244465</wp:posOffset>
              </wp:positionH>
              <wp:positionV relativeFrom="page">
                <wp:posOffset>6791960</wp:posOffset>
              </wp:positionV>
              <wp:extent cx="203200" cy="1943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95pt;margin-top:534.8pt;height:15.3pt;width:16pt;mso-position-horizontal-relative:page;mso-position-vertical-relative:page;z-index:-253168640;mso-width-relative:page;mso-height-relative:page;" filled="f" stroked="f" coordsize="21600,21600" o:gfxdata="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Muyq9oAAAANAQAADwAAAAAA&#10;AAABACAAAAAiAAAAZHJzL2Rvd25yZXYueG1sUEsBAhQAFAAAAAgAh07iQJJVoNmfAQAAIwMAAA4A&#10;AAAAAAAAAQAgAAAAKQ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4"/>
      <w:numFmt w:val="decimal"/>
      <w:lvlText w:val="%1."/>
      <w:lvlJc w:val="left"/>
      <w:pPr>
        <w:ind w:left="832"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907" w:hanging="244"/>
        <w:jc w:val="left"/>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1768" w:hanging="244"/>
      </w:pPr>
      <w:rPr>
        <w:rFonts w:hint="default"/>
        <w:lang w:val="zh-CN" w:eastAsia="zh-CN" w:bidi="zh-CN"/>
      </w:rPr>
    </w:lvl>
    <w:lvl w:ilvl="2" w:tentative="0">
      <w:start w:val="0"/>
      <w:numFmt w:val="bullet"/>
      <w:lvlText w:val="•"/>
      <w:lvlJc w:val="left"/>
      <w:pPr>
        <w:ind w:left="2637" w:hanging="244"/>
      </w:pPr>
      <w:rPr>
        <w:rFonts w:hint="default"/>
        <w:lang w:val="zh-CN" w:eastAsia="zh-CN" w:bidi="zh-CN"/>
      </w:rPr>
    </w:lvl>
    <w:lvl w:ilvl="3" w:tentative="0">
      <w:start w:val="0"/>
      <w:numFmt w:val="bullet"/>
      <w:lvlText w:val="•"/>
      <w:lvlJc w:val="left"/>
      <w:pPr>
        <w:ind w:left="3506" w:hanging="244"/>
      </w:pPr>
      <w:rPr>
        <w:rFonts w:hint="default"/>
        <w:lang w:val="zh-CN" w:eastAsia="zh-CN" w:bidi="zh-CN"/>
      </w:rPr>
    </w:lvl>
    <w:lvl w:ilvl="4" w:tentative="0">
      <w:start w:val="0"/>
      <w:numFmt w:val="bullet"/>
      <w:lvlText w:val="•"/>
      <w:lvlJc w:val="left"/>
      <w:pPr>
        <w:ind w:left="4375" w:hanging="244"/>
      </w:pPr>
      <w:rPr>
        <w:rFonts w:hint="default"/>
        <w:lang w:val="zh-CN" w:eastAsia="zh-CN" w:bidi="zh-CN"/>
      </w:rPr>
    </w:lvl>
    <w:lvl w:ilvl="5" w:tentative="0">
      <w:start w:val="0"/>
      <w:numFmt w:val="bullet"/>
      <w:lvlText w:val="•"/>
      <w:lvlJc w:val="left"/>
      <w:pPr>
        <w:ind w:left="5244" w:hanging="244"/>
      </w:pPr>
      <w:rPr>
        <w:rFonts w:hint="default"/>
        <w:lang w:val="zh-CN" w:eastAsia="zh-CN" w:bidi="zh-CN"/>
      </w:rPr>
    </w:lvl>
    <w:lvl w:ilvl="6" w:tentative="0">
      <w:start w:val="0"/>
      <w:numFmt w:val="bullet"/>
      <w:lvlText w:val="•"/>
      <w:lvlJc w:val="left"/>
      <w:pPr>
        <w:ind w:left="6112" w:hanging="244"/>
      </w:pPr>
      <w:rPr>
        <w:rFonts w:hint="default"/>
        <w:lang w:val="zh-CN" w:eastAsia="zh-CN" w:bidi="zh-CN"/>
      </w:rPr>
    </w:lvl>
    <w:lvl w:ilvl="7" w:tentative="0">
      <w:start w:val="0"/>
      <w:numFmt w:val="bullet"/>
      <w:lvlText w:val="•"/>
      <w:lvlJc w:val="left"/>
      <w:pPr>
        <w:ind w:left="6981" w:hanging="244"/>
      </w:pPr>
      <w:rPr>
        <w:rFonts w:hint="default"/>
        <w:lang w:val="zh-CN" w:eastAsia="zh-CN" w:bidi="zh-CN"/>
      </w:rPr>
    </w:lvl>
    <w:lvl w:ilvl="8" w:tentative="0">
      <w:start w:val="0"/>
      <w:numFmt w:val="bullet"/>
      <w:lvlText w:val="•"/>
      <w:lvlJc w:val="left"/>
      <w:pPr>
        <w:ind w:left="7850" w:hanging="244"/>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82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696" w:hanging="244"/>
      </w:pPr>
      <w:rPr>
        <w:rFonts w:hint="default"/>
        <w:lang w:val="zh-CN" w:eastAsia="zh-CN" w:bidi="zh-CN"/>
      </w:rPr>
    </w:lvl>
    <w:lvl w:ilvl="2" w:tentative="0">
      <w:start w:val="0"/>
      <w:numFmt w:val="bullet"/>
      <w:lvlText w:val="•"/>
      <w:lvlJc w:val="left"/>
      <w:pPr>
        <w:ind w:left="2573" w:hanging="244"/>
      </w:pPr>
      <w:rPr>
        <w:rFonts w:hint="default"/>
        <w:lang w:val="zh-CN" w:eastAsia="zh-CN" w:bidi="zh-CN"/>
      </w:rPr>
    </w:lvl>
    <w:lvl w:ilvl="3" w:tentative="0">
      <w:start w:val="0"/>
      <w:numFmt w:val="bullet"/>
      <w:lvlText w:val="•"/>
      <w:lvlJc w:val="left"/>
      <w:pPr>
        <w:ind w:left="3450" w:hanging="244"/>
      </w:pPr>
      <w:rPr>
        <w:rFonts w:hint="default"/>
        <w:lang w:val="zh-CN" w:eastAsia="zh-CN" w:bidi="zh-CN"/>
      </w:rPr>
    </w:lvl>
    <w:lvl w:ilvl="4" w:tentative="0">
      <w:start w:val="0"/>
      <w:numFmt w:val="bullet"/>
      <w:lvlText w:val="•"/>
      <w:lvlJc w:val="left"/>
      <w:pPr>
        <w:ind w:left="4327" w:hanging="244"/>
      </w:pPr>
      <w:rPr>
        <w:rFonts w:hint="default"/>
        <w:lang w:val="zh-CN" w:eastAsia="zh-CN" w:bidi="zh-CN"/>
      </w:rPr>
    </w:lvl>
    <w:lvl w:ilvl="5" w:tentative="0">
      <w:start w:val="0"/>
      <w:numFmt w:val="bullet"/>
      <w:lvlText w:val="•"/>
      <w:lvlJc w:val="left"/>
      <w:pPr>
        <w:ind w:left="5204" w:hanging="244"/>
      </w:pPr>
      <w:rPr>
        <w:rFonts w:hint="default"/>
        <w:lang w:val="zh-CN" w:eastAsia="zh-CN" w:bidi="zh-CN"/>
      </w:rPr>
    </w:lvl>
    <w:lvl w:ilvl="6" w:tentative="0">
      <w:start w:val="0"/>
      <w:numFmt w:val="bullet"/>
      <w:lvlText w:val="•"/>
      <w:lvlJc w:val="left"/>
      <w:pPr>
        <w:ind w:left="6080" w:hanging="244"/>
      </w:pPr>
      <w:rPr>
        <w:rFonts w:hint="default"/>
        <w:lang w:val="zh-CN" w:eastAsia="zh-CN" w:bidi="zh-CN"/>
      </w:rPr>
    </w:lvl>
    <w:lvl w:ilvl="7" w:tentative="0">
      <w:start w:val="0"/>
      <w:numFmt w:val="bullet"/>
      <w:lvlText w:val="•"/>
      <w:lvlJc w:val="left"/>
      <w:pPr>
        <w:ind w:left="6957" w:hanging="244"/>
      </w:pPr>
      <w:rPr>
        <w:rFonts w:hint="default"/>
        <w:lang w:val="zh-CN" w:eastAsia="zh-CN" w:bidi="zh-CN"/>
      </w:rPr>
    </w:lvl>
    <w:lvl w:ilvl="8" w:tentative="0">
      <w:start w:val="0"/>
      <w:numFmt w:val="bullet"/>
      <w:lvlText w:val="•"/>
      <w:lvlJc w:val="left"/>
      <w:pPr>
        <w:ind w:left="7834" w:hanging="244"/>
      </w:pPr>
      <w:rPr>
        <w:rFonts w:hint="default"/>
        <w:lang w:val="zh-CN" w:eastAsia="zh-CN" w:bidi="zh-CN"/>
      </w:rPr>
    </w:lvl>
  </w:abstractNum>
  <w:abstractNum w:abstractNumId="3">
    <w:nsid w:val="B5E306ED"/>
    <w:multiLevelType w:val="multilevel"/>
    <w:tmpl w:val="B5E306ED"/>
    <w:lvl w:ilvl="0" w:tentative="0">
      <w:start w:val="5"/>
      <w:numFmt w:val="decimal"/>
      <w:lvlText w:val="%1."/>
      <w:lvlJc w:val="left"/>
      <w:pPr>
        <w:ind w:left="106" w:hanging="244"/>
        <w:jc w:val="left"/>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1048" w:hanging="244"/>
      </w:pPr>
      <w:rPr>
        <w:rFonts w:hint="default"/>
        <w:lang w:val="zh-CN" w:eastAsia="zh-CN" w:bidi="zh-CN"/>
      </w:rPr>
    </w:lvl>
    <w:lvl w:ilvl="2" w:tentative="0">
      <w:start w:val="0"/>
      <w:numFmt w:val="bullet"/>
      <w:lvlText w:val="•"/>
      <w:lvlJc w:val="left"/>
      <w:pPr>
        <w:ind w:left="1997" w:hanging="244"/>
      </w:pPr>
      <w:rPr>
        <w:rFonts w:hint="default"/>
        <w:lang w:val="zh-CN" w:eastAsia="zh-CN" w:bidi="zh-CN"/>
      </w:rPr>
    </w:lvl>
    <w:lvl w:ilvl="3" w:tentative="0">
      <w:start w:val="0"/>
      <w:numFmt w:val="bullet"/>
      <w:lvlText w:val="•"/>
      <w:lvlJc w:val="left"/>
      <w:pPr>
        <w:ind w:left="2946" w:hanging="244"/>
      </w:pPr>
      <w:rPr>
        <w:rFonts w:hint="default"/>
        <w:lang w:val="zh-CN" w:eastAsia="zh-CN" w:bidi="zh-CN"/>
      </w:rPr>
    </w:lvl>
    <w:lvl w:ilvl="4" w:tentative="0">
      <w:start w:val="0"/>
      <w:numFmt w:val="bullet"/>
      <w:lvlText w:val="•"/>
      <w:lvlJc w:val="left"/>
      <w:pPr>
        <w:ind w:left="3895" w:hanging="244"/>
      </w:pPr>
      <w:rPr>
        <w:rFonts w:hint="default"/>
        <w:lang w:val="zh-CN" w:eastAsia="zh-CN" w:bidi="zh-CN"/>
      </w:rPr>
    </w:lvl>
    <w:lvl w:ilvl="5" w:tentative="0">
      <w:start w:val="0"/>
      <w:numFmt w:val="bullet"/>
      <w:lvlText w:val="•"/>
      <w:lvlJc w:val="left"/>
      <w:pPr>
        <w:ind w:left="4844" w:hanging="244"/>
      </w:pPr>
      <w:rPr>
        <w:rFonts w:hint="default"/>
        <w:lang w:val="zh-CN" w:eastAsia="zh-CN" w:bidi="zh-CN"/>
      </w:rPr>
    </w:lvl>
    <w:lvl w:ilvl="6" w:tentative="0">
      <w:start w:val="0"/>
      <w:numFmt w:val="bullet"/>
      <w:lvlText w:val="•"/>
      <w:lvlJc w:val="left"/>
      <w:pPr>
        <w:ind w:left="5792" w:hanging="244"/>
      </w:pPr>
      <w:rPr>
        <w:rFonts w:hint="default"/>
        <w:lang w:val="zh-CN" w:eastAsia="zh-CN" w:bidi="zh-CN"/>
      </w:rPr>
    </w:lvl>
    <w:lvl w:ilvl="7" w:tentative="0">
      <w:start w:val="0"/>
      <w:numFmt w:val="bullet"/>
      <w:lvlText w:val="•"/>
      <w:lvlJc w:val="left"/>
      <w:pPr>
        <w:ind w:left="6741" w:hanging="244"/>
      </w:pPr>
      <w:rPr>
        <w:rFonts w:hint="default"/>
        <w:lang w:val="zh-CN" w:eastAsia="zh-CN" w:bidi="zh-CN"/>
      </w:rPr>
    </w:lvl>
    <w:lvl w:ilvl="8" w:tentative="0">
      <w:start w:val="0"/>
      <w:numFmt w:val="bullet"/>
      <w:lvlText w:val="•"/>
      <w:lvlJc w:val="left"/>
      <w:pPr>
        <w:ind w:left="7690" w:hanging="244"/>
      </w:pPr>
      <w:rPr>
        <w:rFonts w:hint="default"/>
        <w:lang w:val="zh-CN" w:eastAsia="zh-CN" w:bidi="zh-CN"/>
      </w:rPr>
    </w:lvl>
  </w:abstractNum>
  <w:abstractNum w:abstractNumId="4">
    <w:nsid w:val="BF205925"/>
    <w:multiLevelType w:val="multilevel"/>
    <w:tmpl w:val="BF205925"/>
    <w:lvl w:ilvl="0" w:tentative="0">
      <w:start w:val="1"/>
      <w:numFmt w:val="decimal"/>
      <w:lvlText w:val="%1."/>
      <w:lvlJc w:val="left"/>
      <w:pPr>
        <w:ind w:left="83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abstractNum w:abstractNumId="5">
    <w:nsid w:val="C8879AEF"/>
    <w:multiLevelType w:val="multilevel"/>
    <w:tmpl w:val="C8879AEF"/>
    <w:lvl w:ilvl="0" w:tentative="0">
      <w:start w:val="2"/>
      <w:numFmt w:val="decimal"/>
      <w:lvlText w:val="%1."/>
      <w:lvlJc w:val="left"/>
      <w:pPr>
        <w:ind w:left="83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abstractNum w:abstractNumId="6">
    <w:nsid w:val="CF092B84"/>
    <w:multiLevelType w:val="multilevel"/>
    <w:tmpl w:val="CF092B84"/>
    <w:lvl w:ilvl="0" w:tentative="0">
      <w:start w:val="1"/>
      <w:numFmt w:val="decimal"/>
      <w:lvlText w:val="%1."/>
      <w:lvlJc w:val="left"/>
      <w:pPr>
        <w:ind w:left="115" w:hanging="375"/>
        <w:jc w:val="left"/>
      </w:pPr>
      <w:rPr>
        <w:rFonts w:hint="default" w:ascii="Times New Roman" w:hAnsi="Times New Roman" w:eastAsia="Times New Roman" w:cs="Times New Roman"/>
        <w:spacing w:val="-32"/>
        <w:w w:val="100"/>
        <w:sz w:val="30"/>
        <w:szCs w:val="30"/>
        <w:lang w:val="zh-CN" w:eastAsia="zh-CN" w:bidi="zh-CN"/>
      </w:rPr>
    </w:lvl>
    <w:lvl w:ilvl="1" w:tentative="0">
      <w:start w:val="0"/>
      <w:numFmt w:val="bullet"/>
      <w:lvlText w:val="•"/>
      <w:lvlJc w:val="left"/>
      <w:pPr>
        <w:ind w:left="1012" w:hanging="375"/>
      </w:pPr>
      <w:rPr>
        <w:rFonts w:hint="default"/>
        <w:lang w:val="zh-CN" w:eastAsia="zh-CN" w:bidi="zh-CN"/>
      </w:rPr>
    </w:lvl>
    <w:lvl w:ilvl="2" w:tentative="0">
      <w:start w:val="0"/>
      <w:numFmt w:val="bullet"/>
      <w:lvlText w:val="•"/>
      <w:lvlJc w:val="left"/>
      <w:pPr>
        <w:ind w:left="1905" w:hanging="375"/>
      </w:pPr>
      <w:rPr>
        <w:rFonts w:hint="default"/>
        <w:lang w:val="zh-CN" w:eastAsia="zh-CN" w:bidi="zh-CN"/>
      </w:rPr>
    </w:lvl>
    <w:lvl w:ilvl="3" w:tentative="0">
      <w:start w:val="0"/>
      <w:numFmt w:val="bullet"/>
      <w:lvlText w:val="•"/>
      <w:lvlJc w:val="left"/>
      <w:pPr>
        <w:ind w:left="2797" w:hanging="375"/>
      </w:pPr>
      <w:rPr>
        <w:rFonts w:hint="default"/>
        <w:lang w:val="zh-CN" w:eastAsia="zh-CN" w:bidi="zh-CN"/>
      </w:rPr>
    </w:lvl>
    <w:lvl w:ilvl="4" w:tentative="0">
      <w:start w:val="0"/>
      <w:numFmt w:val="bullet"/>
      <w:lvlText w:val="•"/>
      <w:lvlJc w:val="left"/>
      <w:pPr>
        <w:ind w:left="3690" w:hanging="375"/>
      </w:pPr>
      <w:rPr>
        <w:rFonts w:hint="default"/>
        <w:lang w:val="zh-CN" w:eastAsia="zh-CN" w:bidi="zh-CN"/>
      </w:rPr>
    </w:lvl>
    <w:lvl w:ilvl="5" w:tentative="0">
      <w:start w:val="0"/>
      <w:numFmt w:val="bullet"/>
      <w:lvlText w:val="•"/>
      <w:lvlJc w:val="left"/>
      <w:pPr>
        <w:ind w:left="4583" w:hanging="375"/>
      </w:pPr>
      <w:rPr>
        <w:rFonts w:hint="default"/>
        <w:lang w:val="zh-CN" w:eastAsia="zh-CN" w:bidi="zh-CN"/>
      </w:rPr>
    </w:lvl>
    <w:lvl w:ilvl="6" w:tentative="0">
      <w:start w:val="0"/>
      <w:numFmt w:val="bullet"/>
      <w:lvlText w:val="•"/>
      <w:lvlJc w:val="left"/>
      <w:pPr>
        <w:ind w:left="5475" w:hanging="375"/>
      </w:pPr>
      <w:rPr>
        <w:rFonts w:hint="default"/>
        <w:lang w:val="zh-CN" w:eastAsia="zh-CN" w:bidi="zh-CN"/>
      </w:rPr>
    </w:lvl>
    <w:lvl w:ilvl="7" w:tentative="0">
      <w:start w:val="0"/>
      <w:numFmt w:val="bullet"/>
      <w:lvlText w:val="•"/>
      <w:lvlJc w:val="left"/>
      <w:pPr>
        <w:ind w:left="6368" w:hanging="375"/>
      </w:pPr>
      <w:rPr>
        <w:rFonts w:hint="default"/>
        <w:lang w:val="zh-CN" w:eastAsia="zh-CN" w:bidi="zh-CN"/>
      </w:rPr>
    </w:lvl>
    <w:lvl w:ilvl="8" w:tentative="0">
      <w:start w:val="0"/>
      <w:numFmt w:val="bullet"/>
      <w:lvlText w:val="•"/>
      <w:lvlJc w:val="left"/>
      <w:pPr>
        <w:ind w:left="7260" w:hanging="375"/>
      </w:pPr>
      <w:rPr>
        <w:rFonts w:hint="default"/>
        <w:lang w:val="zh-CN" w:eastAsia="zh-CN" w:bidi="zh-CN"/>
      </w:rPr>
    </w:lvl>
  </w:abstractNum>
  <w:abstractNum w:abstractNumId="7">
    <w:nsid w:val="D7F9FE59"/>
    <w:multiLevelType w:val="multilevel"/>
    <w:tmpl w:val="D7F9FE59"/>
    <w:lvl w:ilvl="0" w:tentative="0">
      <w:start w:val="1"/>
      <w:numFmt w:val="decimal"/>
      <w:lvlText w:val="%1."/>
      <w:lvlJc w:val="left"/>
      <w:pPr>
        <w:ind w:left="829" w:hanging="243"/>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1696" w:hanging="243"/>
      </w:pPr>
      <w:rPr>
        <w:rFonts w:hint="default"/>
        <w:lang w:val="zh-CN" w:eastAsia="zh-CN" w:bidi="zh-CN"/>
      </w:rPr>
    </w:lvl>
    <w:lvl w:ilvl="2" w:tentative="0">
      <w:start w:val="0"/>
      <w:numFmt w:val="bullet"/>
      <w:lvlText w:val="•"/>
      <w:lvlJc w:val="left"/>
      <w:pPr>
        <w:ind w:left="2573" w:hanging="243"/>
      </w:pPr>
      <w:rPr>
        <w:rFonts w:hint="default"/>
        <w:lang w:val="zh-CN" w:eastAsia="zh-CN" w:bidi="zh-CN"/>
      </w:rPr>
    </w:lvl>
    <w:lvl w:ilvl="3" w:tentative="0">
      <w:start w:val="0"/>
      <w:numFmt w:val="bullet"/>
      <w:lvlText w:val="•"/>
      <w:lvlJc w:val="left"/>
      <w:pPr>
        <w:ind w:left="3450" w:hanging="243"/>
      </w:pPr>
      <w:rPr>
        <w:rFonts w:hint="default"/>
        <w:lang w:val="zh-CN" w:eastAsia="zh-CN" w:bidi="zh-CN"/>
      </w:rPr>
    </w:lvl>
    <w:lvl w:ilvl="4" w:tentative="0">
      <w:start w:val="0"/>
      <w:numFmt w:val="bullet"/>
      <w:lvlText w:val="•"/>
      <w:lvlJc w:val="left"/>
      <w:pPr>
        <w:ind w:left="4327" w:hanging="243"/>
      </w:pPr>
      <w:rPr>
        <w:rFonts w:hint="default"/>
        <w:lang w:val="zh-CN" w:eastAsia="zh-CN" w:bidi="zh-CN"/>
      </w:rPr>
    </w:lvl>
    <w:lvl w:ilvl="5" w:tentative="0">
      <w:start w:val="0"/>
      <w:numFmt w:val="bullet"/>
      <w:lvlText w:val="•"/>
      <w:lvlJc w:val="left"/>
      <w:pPr>
        <w:ind w:left="5204" w:hanging="243"/>
      </w:pPr>
      <w:rPr>
        <w:rFonts w:hint="default"/>
        <w:lang w:val="zh-CN" w:eastAsia="zh-CN" w:bidi="zh-CN"/>
      </w:rPr>
    </w:lvl>
    <w:lvl w:ilvl="6" w:tentative="0">
      <w:start w:val="0"/>
      <w:numFmt w:val="bullet"/>
      <w:lvlText w:val="•"/>
      <w:lvlJc w:val="left"/>
      <w:pPr>
        <w:ind w:left="6080" w:hanging="243"/>
      </w:pPr>
      <w:rPr>
        <w:rFonts w:hint="default"/>
        <w:lang w:val="zh-CN" w:eastAsia="zh-CN" w:bidi="zh-CN"/>
      </w:rPr>
    </w:lvl>
    <w:lvl w:ilvl="7" w:tentative="0">
      <w:start w:val="0"/>
      <w:numFmt w:val="bullet"/>
      <w:lvlText w:val="•"/>
      <w:lvlJc w:val="left"/>
      <w:pPr>
        <w:ind w:left="6957" w:hanging="243"/>
      </w:pPr>
      <w:rPr>
        <w:rFonts w:hint="default"/>
        <w:lang w:val="zh-CN" w:eastAsia="zh-CN" w:bidi="zh-CN"/>
      </w:rPr>
    </w:lvl>
    <w:lvl w:ilvl="8" w:tentative="0">
      <w:start w:val="0"/>
      <w:numFmt w:val="bullet"/>
      <w:lvlText w:val="•"/>
      <w:lvlJc w:val="left"/>
      <w:pPr>
        <w:ind w:left="7834" w:hanging="243"/>
      </w:pPr>
      <w:rPr>
        <w:rFonts w:hint="default"/>
        <w:lang w:val="zh-CN" w:eastAsia="zh-CN" w:bidi="zh-CN"/>
      </w:rPr>
    </w:lvl>
  </w:abstractNum>
  <w:abstractNum w:abstractNumId="8">
    <w:nsid w:val="DCBA6B53"/>
    <w:multiLevelType w:val="multilevel"/>
    <w:tmpl w:val="DCBA6B53"/>
    <w:lvl w:ilvl="0" w:tentative="0">
      <w:start w:val="4"/>
      <w:numFmt w:val="decimal"/>
      <w:lvlText w:val="%1."/>
      <w:lvlJc w:val="left"/>
      <w:pPr>
        <w:ind w:left="907" w:hanging="244"/>
        <w:jc w:val="left"/>
      </w:pPr>
      <w:rPr>
        <w:rFonts w:hint="default" w:ascii="宋体" w:hAnsi="宋体" w:eastAsia="宋体" w:cs="宋体"/>
        <w:b/>
        <w:bCs/>
        <w:spacing w:val="-20"/>
        <w:w w:val="99"/>
        <w:sz w:val="22"/>
        <w:szCs w:val="22"/>
        <w:lang w:val="zh-CN" w:eastAsia="zh-CN" w:bidi="zh-CN"/>
      </w:rPr>
    </w:lvl>
    <w:lvl w:ilvl="1" w:tentative="0">
      <w:start w:val="0"/>
      <w:numFmt w:val="bullet"/>
      <w:lvlText w:val="•"/>
      <w:lvlJc w:val="left"/>
      <w:pPr>
        <w:ind w:left="1768" w:hanging="244"/>
      </w:pPr>
      <w:rPr>
        <w:rFonts w:hint="default"/>
        <w:lang w:val="zh-CN" w:eastAsia="zh-CN" w:bidi="zh-CN"/>
      </w:rPr>
    </w:lvl>
    <w:lvl w:ilvl="2" w:tentative="0">
      <w:start w:val="0"/>
      <w:numFmt w:val="bullet"/>
      <w:lvlText w:val="•"/>
      <w:lvlJc w:val="left"/>
      <w:pPr>
        <w:ind w:left="2637" w:hanging="244"/>
      </w:pPr>
      <w:rPr>
        <w:rFonts w:hint="default"/>
        <w:lang w:val="zh-CN" w:eastAsia="zh-CN" w:bidi="zh-CN"/>
      </w:rPr>
    </w:lvl>
    <w:lvl w:ilvl="3" w:tentative="0">
      <w:start w:val="0"/>
      <w:numFmt w:val="bullet"/>
      <w:lvlText w:val="•"/>
      <w:lvlJc w:val="left"/>
      <w:pPr>
        <w:ind w:left="3506" w:hanging="244"/>
      </w:pPr>
      <w:rPr>
        <w:rFonts w:hint="default"/>
        <w:lang w:val="zh-CN" w:eastAsia="zh-CN" w:bidi="zh-CN"/>
      </w:rPr>
    </w:lvl>
    <w:lvl w:ilvl="4" w:tentative="0">
      <w:start w:val="0"/>
      <w:numFmt w:val="bullet"/>
      <w:lvlText w:val="•"/>
      <w:lvlJc w:val="left"/>
      <w:pPr>
        <w:ind w:left="4375" w:hanging="244"/>
      </w:pPr>
      <w:rPr>
        <w:rFonts w:hint="default"/>
        <w:lang w:val="zh-CN" w:eastAsia="zh-CN" w:bidi="zh-CN"/>
      </w:rPr>
    </w:lvl>
    <w:lvl w:ilvl="5" w:tentative="0">
      <w:start w:val="0"/>
      <w:numFmt w:val="bullet"/>
      <w:lvlText w:val="•"/>
      <w:lvlJc w:val="left"/>
      <w:pPr>
        <w:ind w:left="5244" w:hanging="244"/>
      </w:pPr>
      <w:rPr>
        <w:rFonts w:hint="default"/>
        <w:lang w:val="zh-CN" w:eastAsia="zh-CN" w:bidi="zh-CN"/>
      </w:rPr>
    </w:lvl>
    <w:lvl w:ilvl="6" w:tentative="0">
      <w:start w:val="0"/>
      <w:numFmt w:val="bullet"/>
      <w:lvlText w:val="•"/>
      <w:lvlJc w:val="left"/>
      <w:pPr>
        <w:ind w:left="6112" w:hanging="244"/>
      </w:pPr>
      <w:rPr>
        <w:rFonts w:hint="default"/>
        <w:lang w:val="zh-CN" w:eastAsia="zh-CN" w:bidi="zh-CN"/>
      </w:rPr>
    </w:lvl>
    <w:lvl w:ilvl="7" w:tentative="0">
      <w:start w:val="0"/>
      <w:numFmt w:val="bullet"/>
      <w:lvlText w:val="•"/>
      <w:lvlJc w:val="left"/>
      <w:pPr>
        <w:ind w:left="6981" w:hanging="244"/>
      </w:pPr>
      <w:rPr>
        <w:rFonts w:hint="default"/>
        <w:lang w:val="zh-CN" w:eastAsia="zh-CN" w:bidi="zh-CN"/>
      </w:rPr>
    </w:lvl>
    <w:lvl w:ilvl="8" w:tentative="0">
      <w:start w:val="0"/>
      <w:numFmt w:val="bullet"/>
      <w:lvlText w:val="•"/>
      <w:lvlJc w:val="left"/>
      <w:pPr>
        <w:ind w:left="7850" w:hanging="244"/>
      </w:pPr>
      <w:rPr>
        <w:rFonts w:hint="default"/>
        <w:lang w:val="zh-CN" w:eastAsia="zh-CN" w:bidi="zh-CN"/>
      </w:rPr>
    </w:lvl>
  </w:abstractNum>
  <w:abstractNum w:abstractNumId="9">
    <w:nsid w:val="F4B5D9F5"/>
    <w:multiLevelType w:val="multilevel"/>
    <w:tmpl w:val="F4B5D9F5"/>
    <w:lvl w:ilvl="0" w:tentative="0">
      <w:start w:val="4"/>
      <w:numFmt w:val="decimal"/>
      <w:lvlText w:val="%1."/>
      <w:lvlJc w:val="left"/>
      <w:pPr>
        <w:ind w:left="83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abstractNum w:abstractNumId="10">
    <w:nsid w:val="0248C179"/>
    <w:multiLevelType w:val="multilevel"/>
    <w:tmpl w:val="0248C179"/>
    <w:lvl w:ilvl="0" w:tentative="0">
      <w:start w:val="6"/>
      <w:numFmt w:val="decimal"/>
      <w:lvlText w:val="%1."/>
      <w:lvlJc w:val="left"/>
      <w:pPr>
        <w:ind w:left="106" w:hanging="244"/>
        <w:jc w:val="left"/>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1048" w:hanging="244"/>
      </w:pPr>
      <w:rPr>
        <w:rFonts w:hint="default"/>
        <w:lang w:val="zh-CN" w:eastAsia="zh-CN" w:bidi="zh-CN"/>
      </w:rPr>
    </w:lvl>
    <w:lvl w:ilvl="2" w:tentative="0">
      <w:start w:val="0"/>
      <w:numFmt w:val="bullet"/>
      <w:lvlText w:val="•"/>
      <w:lvlJc w:val="left"/>
      <w:pPr>
        <w:ind w:left="1997" w:hanging="244"/>
      </w:pPr>
      <w:rPr>
        <w:rFonts w:hint="default"/>
        <w:lang w:val="zh-CN" w:eastAsia="zh-CN" w:bidi="zh-CN"/>
      </w:rPr>
    </w:lvl>
    <w:lvl w:ilvl="3" w:tentative="0">
      <w:start w:val="0"/>
      <w:numFmt w:val="bullet"/>
      <w:lvlText w:val="•"/>
      <w:lvlJc w:val="left"/>
      <w:pPr>
        <w:ind w:left="2946" w:hanging="244"/>
      </w:pPr>
      <w:rPr>
        <w:rFonts w:hint="default"/>
        <w:lang w:val="zh-CN" w:eastAsia="zh-CN" w:bidi="zh-CN"/>
      </w:rPr>
    </w:lvl>
    <w:lvl w:ilvl="4" w:tentative="0">
      <w:start w:val="0"/>
      <w:numFmt w:val="bullet"/>
      <w:lvlText w:val="•"/>
      <w:lvlJc w:val="left"/>
      <w:pPr>
        <w:ind w:left="3895" w:hanging="244"/>
      </w:pPr>
      <w:rPr>
        <w:rFonts w:hint="default"/>
        <w:lang w:val="zh-CN" w:eastAsia="zh-CN" w:bidi="zh-CN"/>
      </w:rPr>
    </w:lvl>
    <w:lvl w:ilvl="5" w:tentative="0">
      <w:start w:val="0"/>
      <w:numFmt w:val="bullet"/>
      <w:lvlText w:val="•"/>
      <w:lvlJc w:val="left"/>
      <w:pPr>
        <w:ind w:left="4844" w:hanging="244"/>
      </w:pPr>
      <w:rPr>
        <w:rFonts w:hint="default"/>
        <w:lang w:val="zh-CN" w:eastAsia="zh-CN" w:bidi="zh-CN"/>
      </w:rPr>
    </w:lvl>
    <w:lvl w:ilvl="6" w:tentative="0">
      <w:start w:val="0"/>
      <w:numFmt w:val="bullet"/>
      <w:lvlText w:val="•"/>
      <w:lvlJc w:val="left"/>
      <w:pPr>
        <w:ind w:left="5792" w:hanging="244"/>
      </w:pPr>
      <w:rPr>
        <w:rFonts w:hint="default"/>
        <w:lang w:val="zh-CN" w:eastAsia="zh-CN" w:bidi="zh-CN"/>
      </w:rPr>
    </w:lvl>
    <w:lvl w:ilvl="7" w:tentative="0">
      <w:start w:val="0"/>
      <w:numFmt w:val="bullet"/>
      <w:lvlText w:val="•"/>
      <w:lvlJc w:val="left"/>
      <w:pPr>
        <w:ind w:left="6741" w:hanging="244"/>
      </w:pPr>
      <w:rPr>
        <w:rFonts w:hint="default"/>
        <w:lang w:val="zh-CN" w:eastAsia="zh-CN" w:bidi="zh-CN"/>
      </w:rPr>
    </w:lvl>
    <w:lvl w:ilvl="8" w:tentative="0">
      <w:start w:val="0"/>
      <w:numFmt w:val="bullet"/>
      <w:lvlText w:val="•"/>
      <w:lvlJc w:val="left"/>
      <w:pPr>
        <w:ind w:left="7690" w:hanging="244"/>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83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abstractNum w:abstractNumId="12">
    <w:nsid w:val="0E640482"/>
    <w:multiLevelType w:val="multilevel"/>
    <w:tmpl w:val="0E640482"/>
    <w:lvl w:ilvl="0" w:tentative="0">
      <w:start w:val="2"/>
      <w:numFmt w:val="decimal"/>
      <w:lvlText w:val="%1."/>
      <w:lvlJc w:val="left"/>
      <w:pPr>
        <w:ind w:left="106" w:hanging="244"/>
        <w:jc w:val="left"/>
      </w:pPr>
      <w:rPr>
        <w:rFonts w:hint="default" w:ascii="宋体" w:hAnsi="宋体" w:eastAsia="宋体" w:cs="宋体"/>
        <w:b/>
        <w:bCs/>
        <w:spacing w:val="-12"/>
        <w:w w:val="99"/>
        <w:sz w:val="22"/>
        <w:szCs w:val="22"/>
        <w:lang w:val="zh-CN" w:eastAsia="zh-CN" w:bidi="zh-CN"/>
      </w:rPr>
    </w:lvl>
    <w:lvl w:ilvl="1" w:tentative="0">
      <w:start w:val="0"/>
      <w:numFmt w:val="bullet"/>
      <w:lvlText w:val="•"/>
      <w:lvlJc w:val="left"/>
      <w:pPr>
        <w:ind w:left="1048" w:hanging="244"/>
      </w:pPr>
      <w:rPr>
        <w:rFonts w:hint="default"/>
        <w:lang w:val="zh-CN" w:eastAsia="zh-CN" w:bidi="zh-CN"/>
      </w:rPr>
    </w:lvl>
    <w:lvl w:ilvl="2" w:tentative="0">
      <w:start w:val="0"/>
      <w:numFmt w:val="bullet"/>
      <w:lvlText w:val="•"/>
      <w:lvlJc w:val="left"/>
      <w:pPr>
        <w:ind w:left="1997" w:hanging="244"/>
      </w:pPr>
      <w:rPr>
        <w:rFonts w:hint="default"/>
        <w:lang w:val="zh-CN" w:eastAsia="zh-CN" w:bidi="zh-CN"/>
      </w:rPr>
    </w:lvl>
    <w:lvl w:ilvl="3" w:tentative="0">
      <w:start w:val="0"/>
      <w:numFmt w:val="bullet"/>
      <w:lvlText w:val="•"/>
      <w:lvlJc w:val="left"/>
      <w:pPr>
        <w:ind w:left="2946" w:hanging="244"/>
      </w:pPr>
      <w:rPr>
        <w:rFonts w:hint="default"/>
        <w:lang w:val="zh-CN" w:eastAsia="zh-CN" w:bidi="zh-CN"/>
      </w:rPr>
    </w:lvl>
    <w:lvl w:ilvl="4" w:tentative="0">
      <w:start w:val="0"/>
      <w:numFmt w:val="bullet"/>
      <w:lvlText w:val="•"/>
      <w:lvlJc w:val="left"/>
      <w:pPr>
        <w:ind w:left="3895" w:hanging="244"/>
      </w:pPr>
      <w:rPr>
        <w:rFonts w:hint="default"/>
        <w:lang w:val="zh-CN" w:eastAsia="zh-CN" w:bidi="zh-CN"/>
      </w:rPr>
    </w:lvl>
    <w:lvl w:ilvl="5" w:tentative="0">
      <w:start w:val="0"/>
      <w:numFmt w:val="bullet"/>
      <w:lvlText w:val="•"/>
      <w:lvlJc w:val="left"/>
      <w:pPr>
        <w:ind w:left="4844" w:hanging="244"/>
      </w:pPr>
      <w:rPr>
        <w:rFonts w:hint="default"/>
        <w:lang w:val="zh-CN" w:eastAsia="zh-CN" w:bidi="zh-CN"/>
      </w:rPr>
    </w:lvl>
    <w:lvl w:ilvl="6" w:tentative="0">
      <w:start w:val="0"/>
      <w:numFmt w:val="bullet"/>
      <w:lvlText w:val="•"/>
      <w:lvlJc w:val="left"/>
      <w:pPr>
        <w:ind w:left="5792" w:hanging="244"/>
      </w:pPr>
      <w:rPr>
        <w:rFonts w:hint="default"/>
        <w:lang w:val="zh-CN" w:eastAsia="zh-CN" w:bidi="zh-CN"/>
      </w:rPr>
    </w:lvl>
    <w:lvl w:ilvl="7" w:tentative="0">
      <w:start w:val="0"/>
      <w:numFmt w:val="bullet"/>
      <w:lvlText w:val="•"/>
      <w:lvlJc w:val="left"/>
      <w:pPr>
        <w:ind w:left="6741" w:hanging="244"/>
      </w:pPr>
      <w:rPr>
        <w:rFonts w:hint="default"/>
        <w:lang w:val="zh-CN" w:eastAsia="zh-CN" w:bidi="zh-CN"/>
      </w:rPr>
    </w:lvl>
    <w:lvl w:ilvl="8" w:tentative="0">
      <w:start w:val="0"/>
      <w:numFmt w:val="bullet"/>
      <w:lvlText w:val="•"/>
      <w:lvlJc w:val="left"/>
      <w:pPr>
        <w:ind w:left="7690" w:hanging="244"/>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83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abstractNum w:abstractNumId="14">
    <w:nsid w:val="25B654F3"/>
    <w:multiLevelType w:val="multilevel"/>
    <w:tmpl w:val="25B654F3"/>
    <w:lvl w:ilvl="0" w:tentative="0">
      <w:start w:val="1"/>
      <w:numFmt w:val="decimal"/>
      <w:lvlText w:val="%1."/>
      <w:lvlJc w:val="left"/>
      <w:pPr>
        <w:ind w:left="83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abstractNum w:abstractNumId="15">
    <w:nsid w:val="2A8F537B"/>
    <w:multiLevelType w:val="multilevel"/>
    <w:tmpl w:val="2A8F537B"/>
    <w:lvl w:ilvl="0" w:tentative="0">
      <w:start w:val="2"/>
      <w:numFmt w:val="decimal"/>
      <w:lvlText w:val="%1."/>
      <w:lvlJc w:val="left"/>
      <w:pPr>
        <w:ind w:left="106"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048" w:hanging="244"/>
      </w:pPr>
      <w:rPr>
        <w:rFonts w:hint="default"/>
        <w:lang w:val="zh-CN" w:eastAsia="zh-CN" w:bidi="zh-CN"/>
      </w:rPr>
    </w:lvl>
    <w:lvl w:ilvl="2" w:tentative="0">
      <w:start w:val="0"/>
      <w:numFmt w:val="bullet"/>
      <w:lvlText w:val="•"/>
      <w:lvlJc w:val="left"/>
      <w:pPr>
        <w:ind w:left="1997" w:hanging="244"/>
      </w:pPr>
      <w:rPr>
        <w:rFonts w:hint="default"/>
        <w:lang w:val="zh-CN" w:eastAsia="zh-CN" w:bidi="zh-CN"/>
      </w:rPr>
    </w:lvl>
    <w:lvl w:ilvl="3" w:tentative="0">
      <w:start w:val="0"/>
      <w:numFmt w:val="bullet"/>
      <w:lvlText w:val="•"/>
      <w:lvlJc w:val="left"/>
      <w:pPr>
        <w:ind w:left="2946" w:hanging="244"/>
      </w:pPr>
      <w:rPr>
        <w:rFonts w:hint="default"/>
        <w:lang w:val="zh-CN" w:eastAsia="zh-CN" w:bidi="zh-CN"/>
      </w:rPr>
    </w:lvl>
    <w:lvl w:ilvl="4" w:tentative="0">
      <w:start w:val="0"/>
      <w:numFmt w:val="bullet"/>
      <w:lvlText w:val="•"/>
      <w:lvlJc w:val="left"/>
      <w:pPr>
        <w:ind w:left="3895" w:hanging="244"/>
      </w:pPr>
      <w:rPr>
        <w:rFonts w:hint="default"/>
        <w:lang w:val="zh-CN" w:eastAsia="zh-CN" w:bidi="zh-CN"/>
      </w:rPr>
    </w:lvl>
    <w:lvl w:ilvl="5" w:tentative="0">
      <w:start w:val="0"/>
      <w:numFmt w:val="bullet"/>
      <w:lvlText w:val="•"/>
      <w:lvlJc w:val="left"/>
      <w:pPr>
        <w:ind w:left="4844" w:hanging="244"/>
      </w:pPr>
      <w:rPr>
        <w:rFonts w:hint="default"/>
        <w:lang w:val="zh-CN" w:eastAsia="zh-CN" w:bidi="zh-CN"/>
      </w:rPr>
    </w:lvl>
    <w:lvl w:ilvl="6" w:tentative="0">
      <w:start w:val="0"/>
      <w:numFmt w:val="bullet"/>
      <w:lvlText w:val="•"/>
      <w:lvlJc w:val="left"/>
      <w:pPr>
        <w:ind w:left="5792" w:hanging="244"/>
      </w:pPr>
      <w:rPr>
        <w:rFonts w:hint="default"/>
        <w:lang w:val="zh-CN" w:eastAsia="zh-CN" w:bidi="zh-CN"/>
      </w:rPr>
    </w:lvl>
    <w:lvl w:ilvl="7" w:tentative="0">
      <w:start w:val="0"/>
      <w:numFmt w:val="bullet"/>
      <w:lvlText w:val="•"/>
      <w:lvlJc w:val="left"/>
      <w:pPr>
        <w:ind w:left="6741" w:hanging="244"/>
      </w:pPr>
      <w:rPr>
        <w:rFonts w:hint="default"/>
        <w:lang w:val="zh-CN" w:eastAsia="zh-CN" w:bidi="zh-CN"/>
      </w:rPr>
    </w:lvl>
    <w:lvl w:ilvl="8" w:tentative="0">
      <w:start w:val="0"/>
      <w:numFmt w:val="bullet"/>
      <w:lvlText w:val="•"/>
      <w:lvlJc w:val="left"/>
      <w:pPr>
        <w:ind w:left="7690" w:hanging="244"/>
      </w:pPr>
      <w:rPr>
        <w:rFonts w:hint="default"/>
        <w:lang w:val="zh-CN" w:eastAsia="zh-CN" w:bidi="zh-CN"/>
      </w:rPr>
    </w:lvl>
  </w:abstractNum>
  <w:abstractNum w:abstractNumId="16">
    <w:nsid w:val="46A08BB8"/>
    <w:multiLevelType w:val="multilevel"/>
    <w:tmpl w:val="46A08BB8"/>
    <w:lvl w:ilvl="0" w:tentative="0">
      <w:start w:val="1"/>
      <w:numFmt w:val="decimal"/>
      <w:lvlText w:val="%1."/>
      <w:lvlJc w:val="left"/>
      <w:pPr>
        <w:ind w:left="83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abstractNum w:abstractNumId="17">
    <w:nsid w:val="4C1BAE26"/>
    <w:multiLevelType w:val="multilevel"/>
    <w:tmpl w:val="4C1BAE26"/>
    <w:lvl w:ilvl="0" w:tentative="0">
      <w:start w:val="1"/>
      <w:numFmt w:val="decimal"/>
      <w:lvlText w:val="%1."/>
      <w:lvlJc w:val="left"/>
      <w:pPr>
        <w:ind w:left="820" w:hanging="244"/>
        <w:jc w:val="righ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696" w:hanging="244"/>
      </w:pPr>
      <w:rPr>
        <w:rFonts w:hint="default"/>
        <w:lang w:val="zh-CN" w:eastAsia="zh-CN" w:bidi="zh-CN"/>
      </w:rPr>
    </w:lvl>
    <w:lvl w:ilvl="2" w:tentative="0">
      <w:start w:val="0"/>
      <w:numFmt w:val="bullet"/>
      <w:lvlText w:val="•"/>
      <w:lvlJc w:val="left"/>
      <w:pPr>
        <w:ind w:left="2573" w:hanging="244"/>
      </w:pPr>
      <w:rPr>
        <w:rFonts w:hint="default"/>
        <w:lang w:val="zh-CN" w:eastAsia="zh-CN" w:bidi="zh-CN"/>
      </w:rPr>
    </w:lvl>
    <w:lvl w:ilvl="3" w:tentative="0">
      <w:start w:val="0"/>
      <w:numFmt w:val="bullet"/>
      <w:lvlText w:val="•"/>
      <w:lvlJc w:val="left"/>
      <w:pPr>
        <w:ind w:left="3450" w:hanging="244"/>
      </w:pPr>
      <w:rPr>
        <w:rFonts w:hint="default"/>
        <w:lang w:val="zh-CN" w:eastAsia="zh-CN" w:bidi="zh-CN"/>
      </w:rPr>
    </w:lvl>
    <w:lvl w:ilvl="4" w:tentative="0">
      <w:start w:val="0"/>
      <w:numFmt w:val="bullet"/>
      <w:lvlText w:val="•"/>
      <w:lvlJc w:val="left"/>
      <w:pPr>
        <w:ind w:left="4327" w:hanging="244"/>
      </w:pPr>
      <w:rPr>
        <w:rFonts w:hint="default"/>
        <w:lang w:val="zh-CN" w:eastAsia="zh-CN" w:bidi="zh-CN"/>
      </w:rPr>
    </w:lvl>
    <w:lvl w:ilvl="5" w:tentative="0">
      <w:start w:val="0"/>
      <w:numFmt w:val="bullet"/>
      <w:lvlText w:val="•"/>
      <w:lvlJc w:val="left"/>
      <w:pPr>
        <w:ind w:left="5204" w:hanging="244"/>
      </w:pPr>
      <w:rPr>
        <w:rFonts w:hint="default"/>
        <w:lang w:val="zh-CN" w:eastAsia="zh-CN" w:bidi="zh-CN"/>
      </w:rPr>
    </w:lvl>
    <w:lvl w:ilvl="6" w:tentative="0">
      <w:start w:val="0"/>
      <w:numFmt w:val="bullet"/>
      <w:lvlText w:val="•"/>
      <w:lvlJc w:val="left"/>
      <w:pPr>
        <w:ind w:left="6080" w:hanging="244"/>
      </w:pPr>
      <w:rPr>
        <w:rFonts w:hint="default"/>
        <w:lang w:val="zh-CN" w:eastAsia="zh-CN" w:bidi="zh-CN"/>
      </w:rPr>
    </w:lvl>
    <w:lvl w:ilvl="7" w:tentative="0">
      <w:start w:val="0"/>
      <w:numFmt w:val="bullet"/>
      <w:lvlText w:val="•"/>
      <w:lvlJc w:val="left"/>
      <w:pPr>
        <w:ind w:left="6957" w:hanging="244"/>
      </w:pPr>
      <w:rPr>
        <w:rFonts w:hint="default"/>
        <w:lang w:val="zh-CN" w:eastAsia="zh-CN" w:bidi="zh-CN"/>
      </w:rPr>
    </w:lvl>
    <w:lvl w:ilvl="8" w:tentative="0">
      <w:start w:val="0"/>
      <w:numFmt w:val="bullet"/>
      <w:lvlText w:val="•"/>
      <w:lvlJc w:val="left"/>
      <w:pPr>
        <w:ind w:left="7834" w:hanging="244"/>
      </w:pPr>
      <w:rPr>
        <w:rFonts w:hint="default"/>
        <w:lang w:val="zh-CN" w:eastAsia="zh-CN" w:bidi="zh-CN"/>
      </w:rPr>
    </w:lvl>
  </w:abstractNum>
  <w:abstractNum w:abstractNumId="18">
    <w:nsid w:val="4D4DC07F"/>
    <w:multiLevelType w:val="multilevel"/>
    <w:tmpl w:val="4D4DC07F"/>
    <w:lvl w:ilvl="0" w:tentative="0">
      <w:start w:val="2"/>
      <w:numFmt w:val="decimal"/>
      <w:lvlText w:val="%1."/>
      <w:lvlJc w:val="left"/>
      <w:pPr>
        <w:ind w:left="83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abstractNum w:abstractNumId="19">
    <w:nsid w:val="59ADCABA"/>
    <w:multiLevelType w:val="multilevel"/>
    <w:tmpl w:val="59ADCABA"/>
    <w:lvl w:ilvl="0" w:tentative="0">
      <w:start w:val="1"/>
      <w:numFmt w:val="decimal"/>
      <w:lvlText w:val="%1."/>
      <w:lvlJc w:val="left"/>
      <w:pPr>
        <w:ind w:left="107" w:hanging="267"/>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356" w:hanging="267"/>
      </w:pPr>
      <w:rPr>
        <w:rFonts w:hint="default"/>
        <w:lang w:val="zh-CN" w:eastAsia="zh-CN" w:bidi="zh-CN"/>
      </w:rPr>
    </w:lvl>
    <w:lvl w:ilvl="2" w:tentative="0">
      <w:start w:val="0"/>
      <w:numFmt w:val="bullet"/>
      <w:lvlText w:val="•"/>
      <w:lvlJc w:val="left"/>
      <w:pPr>
        <w:ind w:left="612" w:hanging="267"/>
      </w:pPr>
      <w:rPr>
        <w:rFonts w:hint="default"/>
        <w:lang w:val="zh-CN" w:eastAsia="zh-CN" w:bidi="zh-CN"/>
      </w:rPr>
    </w:lvl>
    <w:lvl w:ilvl="3" w:tentative="0">
      <w:start w:val="0"/>
      <w:numFmt w:val="bullet"/>
      <w:lvlText w:val="•"/>
      <w:lvlJc w:val="left"/>
      <w:pPr>
        <w:ind w:left="869" w:hanging="267"/>
      </w:pPr>
      <w:rPr>
        <w:rFonts w:hint="default"/>
        <w:lang w:val="zh-CN" w:eastAsia="zh-CN" w:bidi="zh-CN"/>
      </w:rPr>
    </w:lvl>
    <w:lvl w:ilvl="4" w:tentative="0">
      <w:start w:val="0"/>
      <w:numFmt w:val="bullet"/>
      <w:lvlText w:val="•"/>
      <w:lvlJc w:val="left"/>
      <w:pPr>
        <w:ind w:left="1125" w:hanging="267"/>
      </w:pPr>
      <w:rPr>
        <w:rFonts w:hint="default"/>
        <w:lang w:val="zh-CN" w:eastAsia="zh-CN" w:bidi="zh-CN"/>
      </w:rPr>
    </w:lvl>
    <w:lvl w:ilvl="5" w:tentative="0">
      <w:start w:val="0"/>
      <w:numFmt w:val="bullet"/>
      <w:lvlText w:val="•"/>
      <w:lvlJc w:val="left"/>
      <w:pPr>
        <w:ind w:left="1382" w:hanging="267"/>
      </w:pPr>
      <w:rPr>
        <w:rFonts w:hint="default"/>
        <w:lang w:val="zh-CN" w:eastAsia="zh-CN" w:bidi="zh-CN"/>
      </w:rPr>
    </w:lvl>
    <w:lvl w:ilvl="6" w:tentative="0">
      <w:start w:val="0"/>
      <w:numFmt w:val="bullet"/>
      <w:lvlText w:val="•"/>
      <w:lvlJc w:val="left"/>
      <w:pPr>
        <w:ind w:left="1638" w:hanging="267"/>
      </w:pPr>
      <w:rPr>
        <w:rFonts w:hint="default"/>
        <w:lang w:val="zh-CN" w:eastAsia="zh-CN" w:bidi="zh-CN"/>
      </w:rPr>
    </w:lvl>
    <w:lvl w:ilvl="7" w:tentative="0">
      <w:start w:val="0"/>
      <w:numFmt w:val="bullet"/>
      <w:lvlText w:val="•"/>
      <w:lvlJc w:val="left"/>
      <w:pPr>
        <w:ind w:left="1894" w:hanging="267"/>
      </w:pPr>
      <w:rPr>
        <w:rFonts w:hint="default"/>
        <w:lang w:val="zh-CN" w:eastAsia="zh-CN" w:bidi="zh-CN"/>
      </w:rPr>
    </w:lvl>
    <w:lvl w:ilvl="8" w:tentative="0">
      <w:start w:val="0"/>
      <w:numFmt w:val="bullet"/>
      <w:lvlText w:val="•"/>
      <w:lvlJc w:val="left"/>
      <w:pPr>
        <w:ind w:left="2151" w:hanging="267"/>
      </w:pPr>
      <w:rPr>
        <w:rFonts w:hint="default"/>
        <w:lang w:val="zh-CN" w:eastAsia="zh-CN" w:bidi="zh-CN"/>
      </w:rPr>
    </w:lvl>
  </w:abstractNum>
  <w:abstractNum w:abstractNumId="20">
    <w:nsid w:val="5A241D34"/>
    <w:multiLevelType w:val="multilevel"/>
    <w:tmpl w:val="5A241D34"/>
    <w:lvl w:ilvl="0" w:tentative="0">
      <w:start w:val="4"/>
      <w:numFmt w:val="decimal"/>
      <w:lvlText w:val="%1."/>
      <w:lvlJc w:val="left"/>
      <w:pPr>
        <w:ind w:left="106"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048" w:hanging="244"/>
      </w:pPr>
      <w:rPr>
        <w:rFonts w:hint="default"/>
        <w:lang w:val="zh-CN" w:eastAsia="zh-CN" w:bidi="zh-CN"/>
      </w:rPr>
    </w:lvl>
    <w:lvl w:ilvl="2" w:tentative="0">
      <w:start w:val="0"/>
      <w:numFmt w:val="bullet"/>
      <w:lvlText w:val="•"/>
      <w:lvlJc w:val="left"/>
      <w:pPr>
        <w:ind w:left="1997" w:hanging="244"/>
      </w:pPr>
      <w:rPr>
        <w:rFonts w:hint="default"/>
        <w:lang w:val="zh-CN" w:eastAsia="zh-CN" w:bidi="zh-CN"/>
      </w:rPr>
    </w:lvl>
    <w:lvl w:ilvl="3" w:tentative="0">
      <w:start w:val="0"/>
      <w:numFmt w:val="bullet"/>
      <w:lvlText w:val="•"/>
      <w:lvlJc w:val="left"/>
      <w:pPr>
        <w:ind w:left="2946" w:hanging="244"/>
      </w:pPr>
      <w:rPr>
        <w:rFonts w:hint="default"/>
        <w:lang w:val="zh-CN" w:eastAsia="zh-CN" w:bidi="zh-CN"/>
      </w:rPr>
    </w:lvl>
    <w:lvl w:ilvl="4" w:tentative="0">
      <w:start w:val="0"/>
      <w:numFmt w:val="bullet"/>
      <w:lvlText w:val="•"/>
      <w:lvlJc w:val="left"/>
      <w:pPr>
        <w:ind w:left="3895" w:hanging="244"/>
      </w:pPr>
      <w:rPr>
        <w:rFonts w:hint="default"/>
        <w:lang w:val="zh-CN" w:eastAsia="zh-CN" w:bidi="zh-CN"/>
      </w:rPr>
    </w:lvl>
    <w:lvl w:ilvl="5" w:tentative="0">
      <w:start w:val="0"/>
      <w:numFmt w:val="bullet"/>
      <w:lvlText w:val="•"/>
      <w:lvlJc w:val="left"/>
      <w:pPr>
        <w:ind w:left="4844" w:hanging="244"/>
      </w:pPr>
      <w:rPr>
        <w:rFonts w:hint="default"/>
        <w:lang w:val="zh-CN" w:eastAsia="zh-CN" w:bidi="zh-CN"/>
      </w:rPr>
    </w:lvl>
    <w:lvl w:ilvl="6" w:tentative="0">
      <w:start w:val="0"/>
      <w:numFmt w:val="bullet"/>
      <w:lvlText w:val="•"/>
      <w:lvlJc w:val="left"/>
      <w:pPr>
        <w:ind w:left="5792" w:hanging="244"/>
      </w:pPr>
      <w:rPr>
        <w:rFonts w:hint="default"/>
        <w:lang w:val="zh-CN" w:eastAsia="zh-CN" w:bidi="zh-CN"/>
      </w:rPr>
    </w:lvl>
    <w:lvl w:ilvl="7" w:tentative="0">
      <w:start w:val="0"/>
      <w:numFmt w:val="bullet"/>
      <w:lvlText w:val="•"/>
      <w:lvlJc w:val="left"/>
      <w:pPr>
        <w:ind w:left="6741" w:hanging="244"/>
      </w:pPr>
      <w:rPr>
        <w:rFonts w:hint="default"/>
        <w:lang w:val="zh-CN" w:eastAsia="zh-CN" w:bidi="zh-CN"/>
      </w:rPr>
    </w:lvl>
    <w:lvl w:ilvl="8" w:tentative="0">
      <w:start w:val="0"/>
      <w:numFmt w:val="bullet"/>
      <w:lvlText w:val="•"/>
      <w:lvlJc w:val="left"/>
      <w:pPr>
        <w:ind w:left="7690" w:hanging="244"/>
      </w:pPr>
      <w:rPr>
        <w:rFonts w:hint="default"/>
        <w:lang w:val="zh-CN" w:eastAsia="zh-CN" w:bidi="zh-CN"/>
      </w:rPr>
    </w:lvl>
  </w:abstractNum>
  <w:abstractNum w:abstractNumId="21">
    <w:nsid w:val="60382F6E"/>
    <w:multiLevelType w:val="multilevel"/>
    <w:tmpl w:val="60382F6E"/>
    <w:lvl w:ilvl="0" w:tentative="0">
      <w:start w:val="1"/>
      <w:numFmt w:val="decimal"/>
      <w:lvlText w:val="%1."/>
      <w:lvlJc w:val="left"/>
      <w:pPr>
        <w:ind w:left="82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696" w:hanging="244"/>
      </w:pPr>
      <w:rPr>
        <w:rFonts w:hint="default"/>
        <w:lang w:val="zh-CN" w:eastAsia="zh-CN" w:bidi="zh-CN"/>
      </w:rPr>
    </w:lvl>
    <w:lvl w:ilvl="2" w:tentative="0">
      <w:start w:val="0"/>
      <w:numFmt w:val="bullet"/>
      <w:lvlText w:val="•"/>
      <w:lvlJc w:val="left"/>
      <w:pPr>
        <w:ind w:left="2573" w:hanging="244"/>
      </w:pPr>
      <w:rPr>
        <w:rFonts w:hint="default"/>
        <w:lang w:val="zh-CN" w:eastAsia="zh-CN" w:bidi="zh-CN"/>
      </w:rPr>
    </w:lvl>
    <w:lvl w:ilvl="3" w:tentative="0">
      <w:start w:val="0"/>
      <w:numFmt w:val="bullet"/>
      <w:lvlText w:val="•"/>
      <w:lvlJc w:val="left"/>
      <w:pPr>
        <w:ind w:left="3450" w:hanging="244"/>
      </w:pPr>
      <w:rPr>
        <w:rFonts w:hint="default"/>
        <w:lang w:val="zh-CN" w:eastAsia="zh-CN" w:bidi="zh-CN"/>
      </w:rPr>
    </w:lvl>
    <w:lvl w:ilvl="4" w:tentative="0">
      <w:start w:val="0"/>
      <w:numFmt w:val="bullet"/>
      <w:lvlText w:val="•"/>
      <w:lvlJc w:val="left"/>
      <w:pPr>
        <w:ind w:left="4327" w:hanging="244"/>
      </w:pPr>
      <w:rPr>
        <w:rFonts w:hint="default"/>
        <w:lang w:val="zh-CN" w:eastAsia="zh-CN" w:bidi="zh-CN"/>
      </w:rPr>
    </w:lvl>
    <w:lvl w:ilvl="5" w:tentative="0">
      <w:start w:val="0"/>
      <w:numFmt w:val="bullet"/>
      <w:lvlText w:val="•"/>
      <w:lvlJc w:val="left"/>
      <w:pPr>
        <w:ind w:left="5204" w:hanging="244"/>
      </w:pPr>
      <w:rPr>
        <w:rFonts w:hint="default"/>
        <w:lang w:val="zh-CN" w:eastAsia="zh-CN" w:bidi="zh-CN"/>
      </w:rPr>
    </w:lvl>
    <w:lvl w:ilvl="6" w:tentative="0">
      <w:start w:val="0"/>
      <w:numFmt w:val="bullet"/>
      <w:lvlText w:val="•"/>
      <w:lvlJc w:val="left"/>
      <w:pPr>
        <w:ind w:left="6080" w:hanging="244"/>
      </w:pPr>
      <w:rPr>
        <w:rFonts w:hint="default"/>
        <w:lang w:val="zh-CN" w:eastAsia="zh-CN" w:bidi="zh-CN"/>
      </w:rPr>
    </w:lvl>
    <w:lvl w:ilvl="7" w:tentative="0">
      <w:start w:val="0"/>
      <w:numFmt w:val="bullet"/>
      <w:lvlText w:val="•"/>
      <w:lvlJc w:val="left"/>
      <w:pPr>
        <w:ind w:left="6957" w:hanging="244"/>
      </w:pPr>
      <w:rPr>
        <w:rFonts w:hint="default"/>
        <w:lang w:val="zh-CN" w:eastAsia="zh-CN" w:bidi="zh-CN"/>
      </w:rPr>
    </w:lvl>
    <w:lvl w:ilvl="8" w:tentative="0">
      <w:start w:val="0"/>
      <w:numFmt w:val="bullet"/>
      <w:lvlText w:val="•"/>
      <w:lvlJc w:val="left"/>
      <w:pPr>
        <w:ind w:left="7834" w:hanging="244"/>
      </w:pPr>
      <w:rPr>
        <w:rFonts w:hint="default"/>
        <w:lang w:val="zh-CN" w:eastAsia="zh-CN" w:bidi="zh-CN"/>
      </w:rPr>
    </w:lvl>
  </w:abstractNum>
  <w:abstractNum w:abstractNumId="22">
    <w:nsid w:val="72183CF9"/>
    <w:multiLevelType w:val="multilevel"/>
    <w:tmpl w:val="72183CF9"/>
    <w:lvl w:ilvl="0" w:tentative="0">
      <w:start w:val="4"/>
      <w:numFmt w:val="decimal"/>
      <w:lvlText w:val="%1."/>
      <w:lvlJc w:val="left"/>
      <w:pPr>
        <w:ind w:left="830"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4" w:hanging="244"/>
      </w:pPr>
      <w:rPr>
        <w:rFonts w:hint="default"/>
        <w:lang w:val="zh-CN" w:eastAsia="zh-CN" w:bidi="zh-CN"/>
      </w:rPr>
    </w:lvl>
    <w:lvl w:ilvl="2" w:tentative="0">
      <w:start w:val="0"/>
      <w:numFmt w:val="bullet"/>
      <w:lvlText w:val="•"/>
      <w:lvlJc w:val="left"/>
      <w:pPr>
        <w:ind w:left="2589" w:hanging="244"/>
      </w:pPr>
      <w:rPr>
        <w:rFonts w:hint="default"/>
        <w:lang w:val="zh-CN" w:eastAsia="zh-CN" w:bidi="zh-CN"/>
      </w:rPr>
    </w:lvl>
    <w:lvl w:ilvl="3" w:tentative="0">
      <w:start w:val="0"/>
      <w:numFmt w:val="bullet"/>
      <w:lvlText w:val="•"/>
      <w:lvlJc w:val="left"/>
      <w:pPr>
        <w:ind w:left="3464" w:hanging="244"/>
      </w:pPr>
      <w:rPr>
        <w:rFonts w:hint="default"/>
        <w:lang w:val="zh-CN" w:eastAsia="zh-CN" w:bidi="zh-CN"/>
      </w:rPr>
    </w:lvl>
    <w:lvl w:ilvl="4" w:tentative="0">
      <w:start w:val="0"/>
      <w:numFmt w:val="bullet"/>
      <w:lvlText w:val="•"/>
      <w:lvlJc w:val="left"/>
      <w:pPr>
        <w:ind w:left="4339" w:hanging="244"/>
      </w:pPr>
      <w:rPr>
        <w:rFonts w:hint="default"/>
        <w:lang w:val="zh-CN" w:eastAsia="zh-CN" w:bidi="zh-CN"/>
      </w:rPr>
    </w:lvl>
    <w:lvl w:ilvl="5" w:tentative="0">
      <w:start w:val="0"/>
      <w:numFmt w:val="bullet"/>
      <w:lvlText w:val="•"/>
      <w:lvlJc w:val="left"/>
      <w:pPr>
        <w:ind w:left="5214" w:hanging="244"/>
      </w:pPr>
      <w:rPr>
        <w:rFonts w:hint="default"/>
        <w:lang w:val="zh-CN" w:eastAsia="zh-CN" w:bidi="zh-CN"/>
      </w:rPr>
    </w:lvl>
    <w:lvl w:ilvl="6" w:tentative="0">
      <w:start w:val="0"/>
      <w:numFmt w:val="bullet"/>
      <w:lvlText w:val="•"/>
      <w:lvlJc w:val="left"/>
      <w:pPr>
        <w:ind w:left="6088" w:hanging="244"/>
      </w:pPr>
      <w:rPr>
        <w:rFonts w:hint="default"/>
        <w:lang w:val="zh-CN" w:eastAsia="zh-CN" w:bidi="zh-CN"/>
      </w:rPr>
    </w:lvl>
    <w:lvl w:ilvl="7" w:tentative="0">
      <w:start w:val="0"/>
      <w:numFmt w:val="bullet"/>
      <w:lvlText w:val="•"/>
      <w:lvlJc w:val="left"/>
      <w:pPr>
        <w:ind w:left="6963" w:hanging="244"/>
      </w:pPr>
      <w:rPr>
        <w:rFonts w:hint="default"/>
        <w:lang w:val="zh-CN" w:eastAsia="zh-CN" w:bidi="zh-CN"/>
      </w:rPr>
    </w:lvl>
    <w:lvl w:ilvl="8" w:tentative="0">
      <w:start w:val="0"/>
      <w:numFmt w:val="bullet"/>
      <w:lvlText w:val="•"/>
      <w:lvlJc w:val="left"/>
      <w:pPr>
        <w:ind w:left="7838" w:hanging="244"/>
      </w:pPr>
      <w:rPr>
        <w:rFonts w:hint="default"/>
        <w:lang w:val="zh-CN" w:eastAsia="zh-CN" w:bidi="zh-CN"/>
      </w:rPr>
    </w:lvl>
  </w:abstractNum>
  <w:num w:numId="1">
    <w:abstractNumId w:val="6"/>
  </w:num>
  <w:num w:numId="2">
    <w:abstractNumId w:val="19"/>
  </w:num>
  <w:num w:numId="3">
    <w:abstractNumId w:val="4"/>
  </w:num>
  <w:num w:numId="4">
    <w:abstractNumId w:val="3"/>
  </w:num>
  <w:num w:numId="5">
    <w:abstractNumId w:val="11"/>
  </w:num>
  <w:num w:numId="6">
    <w:abstractNumId w:val="14"/>
  </w:num>
  <w:num w:numId="7">
    <w:abstractNumId w:val="22"/>
  </w:num>
  <w:num w:numId="8">
    <w:abstractNumId w:val="10"/>
  </w:num>
  <w:num w:numId="9">
    <w:abstractNumId w:val="0"/>
  </w:num>
  <w:num w:numId="10">
    <w:abstractNumId w:val="15"/>
  </w:num>
  <w:num w:numId="11">
    <w:abstractNumId w:val="20"/>
  </w:num>
  <w:num w:numId="12">
    <w:abstractNumId w:val="5"/>
  </w:num>
  <w:num w:numId="13">
    <w:abstractNumId w:val="18"/>
  </w:num>
  <w:num w:numId="14">
    <w:abstractNumId w:val="9"/>
  </w:num>
  <w:num w:numId="15">
    <w:abstractNumId w:val="13"/>
  </w:num>
  <w:num w:numId="16">
    <w:abstractNumId w:val="8"/>
  </w:num>
  <w:num w:numId="17">
    <w:abstractNumId w:val="7"/>
  </w:num>
  <w:num w:numId="18">
    <w:abstractNumId w:val="1"/>
  </w:num>
  <w:num w:numId="19">
    <w:abstractNumId w:val="17"/>
  </w:num>
  <w:num w:numId="20">
    <w:abstractNumId w:val="21"/>
  </w:num>
  <w:num w:numId="21">
    <w:abstractNumId w:val="12"/>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322BA"/>
    <w:rsid w:val="177E79D1"/>
    <w:rsid w:val="23A32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66"/>
      <w:ind w:left="115" w:hanging="527"/>
    </w:pPr>
    <w:rPr>
      <w:rFonts w:ascii="Arial Unicode MS" w:hAnsi="Arial Unicode MS" w:eastAsia="Arial Unicode MS" w:cs="Arial Unicode MS"/>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2020-05-22T06:24:00Z</dcterms:created>
  <dc:creator>123</dc:creator>
  <cp:lastModifiedBy> 丽  小木  </cp:lastModifiedBy>
  <dcterms:modified xsi:type="dcterms:W3CDTF">2020-09-10T06:25:38Z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WPS 文字</vt:lpwstr>
  </property>
  <property fmtid="{D5CDD505-2E9C-101B-9397-08002B2CF9AE}" pid="4" name="LastSaved">
    <vt:filetime>2020-05-22T00:00:00Z</vt:filetime>
  </property>
  <property fmtid="{D5CDD505-2E9C-101B-9397-08002B2CF9AE}" pid="5" name="KSOProductBuildVer">
    <vt:lpwstr>2052-11.1.0.9912</vt:lpwstr>
  </property>
</Properties>
</file>