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ind w:left="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after="0" w:line="600" w:lineRule="exact"/>
        <w:ind w:left="0"/>
        <w:jc w:val="both"/>
        <w:textAlignment w:val="auto"/>
        <w:rPr>
          <w:rFonts w:hint="eastAsia" w:ascii="仿宋" w:hAnsi="仿宋" w:eastAsia="仿宋" w:cs="仿宋"/>
          <w:color w:val="000000"/>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关于对安全生产领域守信生产经营单位</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及其有关人员开展联合激励的合作备忘录</w:t>
      </w:r>
    </w:p>
    <w:p>
      <w:pPr>
        <w:keepNext w:val="0"/>
        <w:keepLines w:val="0"/>
        <w:pageBreakBefore w:val="0"/>
        <w:widowControl w:val="0"/>
        <w:kinsoku/>
        <w:wordWrap/>
        <w:overflowPunct/>
        <w:topLinePunct w:val="0"/>
        <w:autoSpaceDE/>
        <w:autoSpaceDN/>
        <w:bidi w:val="0"/>
        <w:adjustRightInd/>
        <w:snapToGrid/>
        <w:spacing w:after="0" w:line="600" w:lineRule="exact"/>
        <w:ind w:left="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mc:AlternateContent>
          <mc:Choice Requires="wps">
            <w:drawing>
              <wp:anchor distT="0" distB="0" distL="0" distR="0" simplePos="0" relativeHeight="125830144" behindDoc="0" locked="0" layoutInCell="1" allowOverlap="1">
                <wp:simplePos x="0" y="0"/>
                <wp:positionH relativeFrom="page">
                  <wp:posOffset>3446145</wp:posOffset>
                </wp:positionH>
                <wp:positionV relativeFrom="paragraph">
                  <wp:posOffset>14173200</wp:posOffset>
                </wp:positionV>
                <wp:extent cx="241300" cy="228600"/>
                <wp:effectExtent l="0" t="0" r="0" b="0"/>
                <wp:wrapSquare wrapText="bothSides"/>
                <wp:docPr id="18" name="Shape 18"/>
                <wp:cNvGraphicFramePr/>
                <a:graphic xmlns:a="http://schemas.openxmlformats.org/drawingml/2006/main">
                  <a:graphicData uri="http://schemas.microsoft.com/office/word/2010/wordprocessingShape">
                    <wps:wsp>
                      <wps:cNvSpPr txBox="1"/>
                      <wps:spPr>
                        <a:xfrm>
                          <a:off x="0" y="0"/>
                          <a:ext cx="241300" cy="22860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both"/>
                            </w:pPr>
                          </w:p>
                        </w:txbxContent>
                      </wps:txbx>
                      <wps:bodyPr wrap="none" lIns="0" tIns="0" rIns="0" bIns="0">
                        <a:noAutofit/>
                      </wps:bodyPr>
                    </wps:wsp>
                  </a:graphicData>
                </a:graphic>
              </wp:anchor>
            </w:drawing>
          </mc:Choice>
          <mc:Fallback>
            <w:pict>
              <v:shape id="Shape 18" o:spid="_x0000_s1026" o:spt="202" type="#_x0000_t202" style="position:absolute;left:0pt;margin-left:271.35pt;margin-top:1116pt;height:18pt;width:19pt;mso-position-horizontal-relative:page;mso-wrap-distance-bottom:0pt;mso-wrap-distance-left:0pt;mso-wrap-distance-right:0pt;mso-wrap-distance-top:0pt;mso-wrap-style:none;z-index:125830144;mso-width-relative:page;mso-height-relative:page;" filled="f" stroked="f" coordsize="21600,21600" o:gfxdata="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VVAB92AAAAA0BAAAPAAAAAAAAAAEAIAAAACIAAABkcnMvZG93bnJl&#10;di54bWxQSwECFAAUAAAACACHTuJAtHzzsIsBAAAjAwAADgAAAAAAAAABACAAAAAnAQAAZHJzL2Uy&#10;b0RvYy54bWxQSwUGAAAAAAYABgBZAQAAJAUAAAAA&#10;">
                <v:fill on="f" focussize="0,0"/>
                <v:stroke on="f"/>
                <v:imagedata o:title=""/>
                <o:lock v:ext="edit" aspectratio="f"/>
                <v:textbox inset="0mm,0mm,0mm,0mm">
                  <w:txbxContent>
                    <w:p>
                      <w:pPr>
                        <w:pStyle w:val="6"/>
                        <w:keepNext w:val="0"/>
                        <w:keepLines w:val="0"/>
                        <w:widowControl w:val="0"/>
                        <w:shd w:val="clear" w:color="auto" w:fill="auto"/>
                        <w:bidi w:val="0"/>
                        <w:spacing w:before="0" w:after="0" w:line="240" w:lineRule="auto"/>
                        <w:ind w:left="0" w:right="0" w:firstLine="0"/>
                        <w:jc w:val="both"/>
                      </w:pPr>
                    </w:p>
                  </w:txbxContent>
                </v:textbox>
                <w10:wrap type="square"/>
              </v:shape>
            </w:pict>
          </mc:Fallback>
        </mc:AlternateContent>
      </w:r>
      <w:r>
        <w:rPr>
          <w:rFonts w:hint="eastAsia" w:ascii="仿宋" w:hAnsi="仿宋" w:eastAsia="仿宋" w:cs="仿宋"/>
          <w:color w:val="000000"/>
          <w:spacing w:val="0"/>
          <w:w w:val="100"/>
          <w:position w:val="0"/>
          <w:sz w:val="32"/>
          <w:szCs w:val="32"/>
        </w:rPr>
        <w:t>为全面贯彻党的十九大精神和习近平新时代中国特色社会主义思想，落实《中共中央国务院关于推进安全生产领域改革发展的意见》、《国务院关于印发社会信用体系建设规划纲要（2014</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rPr>
        <w:t>2020年）的通知》（国发〔2014〕21号）、《国务院关于建立完善守信联合激励和失信联合惩戒制度加快推进社会诚信建设的指导意见》（国发〔2016〕33号）、《国家发展改革委人民银行关于加强和规范守信联合激励和失信联合惩戒对象名单管理工作的指导意见》 （发改财金规〔2017〕1798号）等文件要求，通过建立部门间业务协同和联合激励机制，形成褒扬诚信的合力，加快推进安全生产领域诚信体系建设，国家发展改革委、人民银行、安全监管总局、中央文明办、科技部、工业和信息化部、公安部、财政部、人力资源社会保障部、国土资源部、环境保护部、住房城乡建设部、交通运输部、商务部、国资委、海关总署、税务总局、质检总局、食品药品监管总局、银监会、证监会、保监会、外汇局、全国总工会、全国妇联、贸促会等部门就联合激励安全生产领域守信生产经营单位及其有关人员达成如下意见</w:t>
      </w:r>
      <w:r>
        <w:rPr>
          <w:rFonts w:hint="eastAsia" w:ascii="仿宋" w:hAnsi="仿宋" w:eastAsia="仿宋" w:cs="仿宋"/>
          <w:color w:val="000000"/>
          <w:spacing w:val="0"/>
          <w:w w:val="100"/>
          <w:position w:val="0"/>
          <w:sz w:val="32"/>
          <w:szCs w:val="32"/>
          <w:lang w:eastAsia="zh-CN"/>
        </w:rPr>
        <w:t>。</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eastAsia="zh-CN"/>
        </w:rPr>
        <w:t>一、</w:t>
      </w:r>
      <w:r>
        <w:rPr>
          <w:rFonts w:hint="eastAsia" w:ascii="黑体" w:hAnsi="黑体" w:eastAsia="黑体" w:cs="黑体"/>
          <w:color w:val="000000"/>
          <w:spacing w:val="0"/>
          <w:w w:val="100"/>
          <w:position w:val="0"/>
          <w:sz w:val="32"/>
          <w:szCs w:val="32"/>
        </w:rPr>
        <w:t>联合激励对象</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激励对象为同时符合以下条件的生产经营单位及其有关人员：（1）必须公开向社会承诺并严格遵守安全生产与职业健康法律、法规、标准等有关规定，严格履行安全生产主体责任；（2）生产经营单位及其主要负责人、分管安全负责人3年内无安全生产失信行为；（3）3年内未发生造成人员死亡的生产安全责任事故，未发现新发职业病病例；（4）3年内未受到安全监管监察部门做出的行政处罚；（5）安全生产标准化建设达到一级水平。</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spacing w:val="0"/>
          <w:w w:val="100"/>
          <w:position w:val="0"/>
          <w:sz w:val="32"/>
          <w:szCs w:val="32"/>
        </w:rPr>
        <w:t>二、激励措施、共享内容及实施单位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0" w:name="bookmark7"/>
      <w:r>
        <w:rPr>
          <w:rFonts w:hint="eastAsia" w:ascii="楷体" w:hAnsi="楷体" w:eastAsia="楷体" w:cs="楷体"/>
          <w:color w:val="000000"/>
          <w:spacing w:val="0"/>
          <w:w w:val="100"/>
          <w:position w:val="0"/>
          <w:sz w:val="32"/>
          <w:szCs w:val="32"/>
        </w:rPr>
        <w:t>（</w:t>
      </w:r>
      <w:bookmarkEnd w:id="0"/>
      <w:r>
        <w:rPr>
          <w:rFonts w:hint="eastAsia" w:ascii="楷体" w:hAnsi="楷体" w:eastAsia="楷体" w:cs="楷体"/>
          <w:color w:val="000000"/>
          <w:spacing w:val="0"/>
          <w:w w:val="100"/>
          <w:position w:val="0"/>
          <w:sz w:val="32"/>
          <w:szCs w:val="32"/>
        </w:rPr>
        <w:t>一）发展改革部门支持措施</w:t>
      </w:r>
    </w:p>
    <w:p>
      <w:pPr>
        <w:pStyle w:val="5"/>
        <w:keepNext w:val="0"/>
        <w:keepLines w:val="0"/>
        <w:pageBreakBefore w:val="0"/>
        <w:widowControl w:val="0"/>
        <w:numPr>
          <w:ilvl w:val="0"/>
          <w:numId w:val="0"/>
        </w:numPr>
        <w:shd w:val="clear" w:color="auto" w:fill="auto"/>
        <w:tabs>
          <w:tab w:val="left" w:pos="240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 w:name="bookmark8"/>
      <w:bookmarkEnd w:id="1"/>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建立行政审批</w:t>
      </w:r>
      <w:r>
        <w:rPr>
          <w:rFonts w:hint="eastAsia" w:ascii="仿宋" w:hAnsi="仿宋" w:eastAsia="仿宋" w:cs="仿宋"/>
          <w:color w:val="000000"/>
          <w:spacing w:val="0"/>
          <w:w w:val="100"/>
          <w:position w:val="0"/>
          <w:sz w:val="32"/>
          <w:szCs w:val="32"/>
          <w:lang w:val="zh-CN" w:eastAsia="zh-CN" w:bidi="zh-CN"/>
        </w:rPr>
        <w:t>“绿</w:t>
      </w:r>
      <w:r>
        <w:rPr>
          <w:rFonts w:hint="eastAsia" w:ascii="仿宋" w:hAnsi="仿宋" w:eastAsia="仿宋" w:cs="仿宋"/>
          <w:color w:val="000000"/>
          <w:spacing w:val="0"/>
          <w:w w:val="100"/>
          <w:position w:val="0"/>
          <w:sz w:val="32"/>
          <w:szCs w:val="32"/>
        </w:rPr>
        <w:t>色通道”，根据实际情况实施</w:t>
      </w:r>
      <w:r>
        <w:rPr>
          <w:rFonts w:hint="eastAsia" w:ascii="仿宋" w:hAnsi="仿宋" w:eastAsia="仿宋" w:cs="仿宋"/>
          <w:color w:val="000000"/>
          <w:spacing w:val="0"/>
          <w:w w:val="100"/>
          <w:position w:val="0"/>
          <w:sz w:val="32"/>
          <w:szCs w:val="32"/>
          <w:lang w:val="zh-CN" w:eastAsia="zh-CN" w:bidi="zh-CN"/>
        </w:rPr>
        <w:t>“容缺</w:t>
      </w:r>
      <w:r>
        <w:rPr>
          <w:rFonts w:hint="eastAsia" w:ascii="仿宋" w:hAnsi="仿宋" w:eastAsia="仿宋" w:cs="仿宋"/>
          <w:color w:val="000000"/>
          <w:spacing w:val="0"/>
          <w:w w:val="100"/>
          <w:position w:val="0"/>
          <w:sz w:val="32"/>
          <w:szCs w:val="32"/>
        </w:rPr>
        <w:t>受理</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等便利服务措施。除法律法规要求提供的材料外，部分申报材料不齐备的，如其书面承诺在规定期限内提供，可先行受理，加快办理进度。</w:t>
      </w:r>
    </w:p>
    <w:p>
      <w:pPr>
        <w:pStyle w:val="5"/>
        <w:keepNext w:val="0"/>
        <w:keepLines w:val="0"/>
        <w:pageBreakBefore w:val="0"/>
        <w:widowControl w:val="0"/>
        <w:numPr>
          <w:ilvl w:val="0"/>
          <w:numId w:val="0"/>
        </w:numPr>
        <w:shd w:val="clear" w:color="auto" w:fill="auto"/>
        <w:tabs>
          <w:tab w:val="left" w:pos="230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 w:name="bookmark9"/>
      <w:bookmarkEnd w:id="2"/>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在政府投资补助、项目贴息、项目审批、项目核准等方面予以积极支持。</w:t>
      </w:r>
    </w:p>
    <w:p>
      <w:pPr>
        <w:pStyle w:val="5"/>
        <w:keepNext w:val="0"/>
        <w:keepLines w:val="0"/>
        <w:pageBreakBefore w:val="0"/>
        <w:widowControl w:val="0"/>
        <w:numPr>
          <w:ilvl w:val="0"/>
          <w:numId w:val="0"/>
        </w:numPr>
        <w:shd w:val="clear" w:color="auto" w:fill="auto"/>
        <w:tabs>
          <w:tab w:val="left" w:pos="234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3" w:name="bookmark10"/>
      <w:bookmarkEnd w:id="3"/>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rPr>
        <w:t>企业债发行过程中，鼓励发行人披露信用信息，增强发行人的市场认可度，降低企业融资成本。</w:t>
      </w:r>
    </w:p>
    <w:p>
      <w:pPr>
        <w:pStyle w:val="5"/>
        <w:keepNext w:val="0"/>
        <w:keepLines w:val="0"/>
        <w:pageBreakBefore w:val="0"/>
        <w:widowControl w:val="0"/>
        <w:numPr>
          <w:ilvl w:val="0"/>
          <w:numId w:val="0"/>
        </w:numPr>
        <w:shd w:val="clear" w:color="auto" w:fill="auto"/>
        <w:tabs>
          <w:tab w:val="left" w:pos="232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4" w:name="bookmark11"/>
      <w:bookmarkEnd w:id="4"/>
      <w:r>
        <w:rPr>
          <w:rFonts w:hint="eastAsia" w:ascii="仿宋" w:hAnsi="仿宋" w:eastAsia="仿宋" w:cs="仿宋"/>
          <w:color w:val="000000"/>
          <w:spacing w:val="0"/>
          <w:w w:val="100"/>
          <w:position w:val="0"/>
          <w:sz w:val="32"/>
          <w:szCs w:val="32"/>
          <w:lang w:val="en-US" w:eastAsia="zh-CN"/>
        </w:rPr>
        <w:t>4.</w:t>
      </w:r>
      <w:r>
        <w:rPr>
          <w:rFonts w:hint="eastAsia" w:ascii="仿宋" w:hAnsi="仿宋" w:eastAsia="仿宋" w:cs="仿宋"/>
          <w:color w:val="000000"/>
          <w:spacing w:val="0"/>
          <w:w w:val="100"/>
          <w:position w:val="0"/>
          <w:sz w:val="32"/>
          <w:szCs w:val="32"/>
        </w:rPr>
        <w:t>在政府投资项目招标中，给予一定优惠措施和信用加分，同等条件优先考虑。</w:t>
      </w:r>
    </w:p>
    <w:p>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 w:hAnsi="仿宋" w:eastAsia="仿宋" w:cs="仿宋"/>
          <w:sz w:val="32"/>
          <w:szCs w:val="32"/>
        </w:rPr>
      </w:pPr>
      <w:bookmarkStart w:id="5" w:name="bookmark12"/>
      <w:bookmarkEnd w:id="5"/>
      <w:r>
        <w:rPr>
          <w:rFonts w:hint="eastAsia" w:ascii="仿宋" w:hAnsi="仿宋" w:eastAsia="仿宋" w:cs="仿宋"/>
          <w:color w:val="000000"/>
          <w:spacing w:val="0"/>
          <w:w w:val="100"/>
          <w:position w:val="0"/>
          <w:sz w:val="32"/>
          <w:szCs w:val="32"/>
          <w:lang w:val="en-US" w:eastAsia="zh-CN"/>
        </w:rPr>
        <w:t>5.</w:t>
      </w:r>
      <w:r>
        <w:rPr>
          <w:rFonts w:hint="eastAsia" w:ascii="仿宋" w:hAnsi="仿宋" w:eastAsia="仿宋" w:cs="仿宋"/>
          <w:color w:val="000000"/>
          <w:spacing w:val="0"/>
          <w:w w:val="100"/>
          <w:position w:val="0"/>
          <w:sz w:val="32"/>
          <w:szCs w:val="32"/>
        </w:rPr>
        <w:t>在申请基础设施和公用事业特许经营时，给予一定优惠措施,同等条件优先考虑。</w:t>
      </w:r>
    </w:p>
    <w:p>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 w:hAnsi="仿宋" w:eastAsia="仿宋" w:cs="仿宋"/>
          <w:sz w:val="32"/>
          <w:szCs w:val="32"/>
        </w:rPr>
      </w:pPr>
      <w:bookmarkStart w:id="6" w:name="bookmark13"/>
      <w:bookmarkEnd w:id="6"/>
      <w:r>
        <w:rPr>
          <w:rFonts w:hint="eastAsia" w:ascii="仿宋" w:hAnsi="仿宋" w:eastAsia="仿宋" w:cs="仿宋"/>
          <w:color w:val="000000"/>
          <w:spacing w:val="0"/>
          <w:w w:val="100"/>
          <w:position w:val="0"/>
          <w:sz w:val="32"/>
          <w:szCs w:val="32"/>
          <w:lang w:val="en-US" w:eastAsia="zh-CN"/>
        </w:rPr>
        <w:t>6.</w:t>
      </w:r>
      <w:r>
        <w:rPr>
          <w:rFonts w:hint="eastAsia" w:ascii="仿宋" w:hAnsi="仿宋" w:eastAsia="仿宋" w:cs="仿宋"/>
          <w:color w:val="000000"/>
          <w:spacing w:val="0"/>
          <w:w w:val="100"/>
          <w:position w:val="0"/>
          <w:sz w:val="32"/>
          <w:szCs w:val="32"/>
        </w:rPr>
        <w:t>重大项目稽查中，对于中央预算内投资项目，可适当减少抽查比例。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实施单位：国家发展改革委</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7" w:name="bookmark14"/>
      <w:r>
        <w:rPr>
          <w:rFonts w:hint="eastAsia" w:ascii="楷体" w:hAnsi="楷体" w:eastAsia="楷体" w:cs="楷体"/>
          <w:color w:val="000000"/>
          <w:spacing w:val="0"/>
          <w:w w:val="100"/>
          <w:position w:val="0"/>
          <w:sz w:val="32"/>
          <w:szCs w:val="32"/>
        </w:rPr>
        <w:t>（</w:t>
      </w:r>
      <w:bookmarkEnd w:id="7"/>
      <w:r>
        <w:rPr>
          <w:rFonts w:hint="eastAsia" w:ascii="楷体" w:hAnsi="楷体" w:eastAsia="楷体" w:cs="楷体"/>
          <w:color w:val="000000"/>
          <w:spacing w:val="0"/>
          <w:w w:val="100"/>
          <w:position w:val="0"/>
          <w:sz w:val="32"/>
          <w:szCs w:val="32"/>
        </w:rPr>
        <w:t>二）给予科技管理支持</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8" w:name="bookmark15"/>
      <w:bookmarkEnd w:id="8"/>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科研开发项目，在符合相关年度科技计划立项管理程序要求的基础上予以优先考虑。</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9" w:name="bookmark16"/>
      <w:bookmarkEnd w:id="9"/>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在各类科技奖励的申报等方面，同等条件优先考虑。</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实施单位：科技部</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right="0" w:rightChars="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楷体" w:hAnsi="楷体" w:eastAsia="楷体" w:cs="楷体"/>
          <w:color w:val="000000"/>
          <w:spacing w:val="0"/>
          <w:w w:val="100"/>
          <w:position w:val="0"/>
          <w:sz w:val="32"/>
          <w:szCs w:val="32"/>
          <w:lang w:eastAsia="zh-CN"/>
        </w:rPr>
        <w:t>（三）</w:t>
      </w:r>
      <w:r>
        <w:rPr>
          <w:rFonts w:hint="eastAsia" w:ascii="楷体" w:hAnsi="楷体" w:eastAsia="楷体" w:cs="楷体"/>
          <w:color w:val="000000"/>
          <w:spacing w:val="0"/>
          <w:w w:val="100"/>
          <w:position w:val="0"/>
          <w:sz w:val="32"/>
          <w:szCs w:val="32"/>
        </w:rPr>
        <w:t>给予电信业务支持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在电信业务市场管理方面给予一定便利。</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实施单位：工业和信息化部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0" w:name="bookmark18"/>
      <w:r>
        <w:rPr>
          <w:rFonts w:hint="eastAsia" w:ascii="楷体" w:hAnsi="楷体" w:eastAsia="楷体" w:cs="楷体"/>
          <w:color w:val="000000"/>
          <w:spacing w:val="0"/>
          <w:w w:val="100"/>
          <w:position w:val="0"/>
          <w:sz w:val="32"/>
          <w:szCs w:val="32"/>
        </w:rPr>
        <w:t>（</w:t>
      </w:r>
      <w:bookmarkEnd w:id="10"/>
      <w:r>
        <w:rPr>
          <w:rFonts w:hint="eastAsia" w:ascii="楷体" w:hAnsi="楷体" w:eastAsia="楷体" w:cs="楷体"/>
          <w:color w:val="000000"/>
          <w:spacing w:val="0"/>
          <w:w w:val="100"/>
          <w:position w:val="0"/>
          <w:sz w:val="32"/>
          <w:szCs w:val="32"/>
        </w:rPr>
        <w:t>四）给予公安行政服务管理支持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在落户政策和出入境管理方面给予一定优化服务。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实施单位：公安部</w:t>
      </w:r>
    </w:p>
    <w:p>
      <w:pPr>
        <w:pStyle w:val="5"/>
        <w:keepNext w:val="0"/>
        <w:keepLines w:val="0"/>
        <w:pageBreakBefore w:val="0"/>
        <w:widowControl w:val="0"/>
        <w:shd w:val="clear" w:color="auto" w:fill="auto"/>
        <w:tabs>
          <w:tab w:val="left" w:pos="414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1" w:name="bookmark19"/>
      <w:r>
        <w:rPr>
          <w:rFonts w:hint="eastAsia" w:ascii="楷体" w:hAnsi="楷体" w:eastAsia="楷体" w:cs="楷体"/>
          <w:color w:val="000000"/>
          <w:spacing w:val="0"/>
          <w:w w:val="100"/>
          <w:position w:val="0"/>
          <w:sz w:val="32"/>
          <w:szCs w:val="32"/>
        </w:rPr>
        <w:t>（</w:t>
      </w:r>
      <w:bookmarkEnd w:id="11"/>
      <w:r>
        <w:rPr>
          <w:rFonts w:hint="eastAsia" w:ascii="楷体" w:hAnsi="楷体" w:eastAsia="楷体" w:cs="楷体"/>
          <w:color w:val="000000"/>
          <w:spacing w:val="0"/>
          <w:w w:val="100"/>
          <w:position w:val="0"/>
          <w:sz w:val="32"/>
          <w:szCs w:val="32"/>
        </w:rPr>
        <w:t>五）给予财政资金使用支持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在实施财政性资金项目安排时，将安全生产守信情况作为参考条件，同等条件下优先考虑联合激励对象。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实施单位：财政部</w:t>
      </w:r>
    </w:p>
    <w:p>
      <w:pPr>
        <w:pStyle w:val="5"/>
        <w:keepNext w:val="0"/>
        <w:keepLines w:val="0"/>
        <w:pageBreakBefore w:val="0"/>
        <w:widowControl w:val="0"/>
        <w:shd w:val="clear" w:color="auto" w:fill="auto"/>
        <w:tabs>
          <w:tab w:val="left" w:pos="414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2" w:name="bookmark20"/>
      <w:r>
        <w:rPr>
          <w:rFonts w:hint="eastAsia" w:ascii="楷体" w:hAnsi="楷体" w:eastAsia="楷体" w:cs="楷体"/>
          <w:color w:val="000000"/>
          <w:spacing w:val="0"/>
          <w:w w:val="100"/>
          <w:position w:val="0"/>
          <w:sz w:val="32"/>
          <w:szCs w:val="32"/>
        </w:rPr>
        <w:t>（</w:t>
      </w:r>
      <w:bookmarkEnd w:id="12"/>
      <w:r>
        <w:rPr>
          <w:rFonts w:hint="eastAsia" w:ascii="楷体" w:hAnsi="楷体" w:eastAsia="楷体" w:cs="楷体"/>
          <w:color w:val="000000"/>
          <w:spacing w:val="0"/>
          <w:w w:val="100"/>
          <w:position w:val="0"/>
          <w:sz w:val="32"/>
          <w:szCs w:val="32"/>
        </w:rPr>
        <w:t>六）给予社会保障领域政策支持</w:t>
      </w:r>
    </w:p>
    <w:p>
      <w:pPr>
        <w:pStyle w:val="5"/>
        <w:keepNext w:val="0"/>
        <w:keepLines w:val="0"/>
        <w:pageBreakBefore w:val="0"/>
        <w:widowControl w:val="0"/>
        <w:numPr>
          <w:numId w:val="0"/>
        </w:numPr>
        <w:shd w:val="clear" w:color="auto" w:fill="auto"/>
        <w:tabs>
          <w:tab w:val="left" w:pos="229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3" w:name="bookmark21"/>
      <w:bookmarkEnd w:id="13"/>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办理社会保险业务时享受</w:t>
      </w:r>
      <w:r>
        <w:rPr>
          <w:rFonts w:hint="eastAsia" w:ascii="仿宋" w:hAnsi="仿宋" w:eastAsia="仿宋" w:cs="仿宋"/>
          <w:color w:val="000000"/>
          <w:spacing w:val="0"/>
          <w:w w:val="100"/>
          <w:position w:val="0"/>
          <w:sz w:val="32"/>
          <w:szCs w:val="32"/>
          <w:lang w:val="zh-CN" w:eastAsia="zh-CN" w:bidi="zh-CN"/>
        </w:rPr>
        <w:t>“绿色通道”</w:t>
      </w:r>
      <w:r>
        <w:rPr>
          <w:rFonts w:hint="eastAsia" w:ascii="仿宋" w:hAnsi="仿宋" w:eastAsia="仿宋" w:cs="仿宋"/>
          <w:color w:val="000000"/>
          <w:spacing w:val="0"/>
          <w:w w:val="100"/>
          <w:position w:val="0"/>
          <w:sz w:val="32"/>
          <w:szCs w:val="32"/>
        </w:rPr>
        <w:t>和快捷服务。</w:t>
      </w:r>
    </w:p>
    <w:p>
      <w:pPr>
        <w:pStyle w:val="5"/>
        <w:keepNext w:val="0"/>
        <w:keepLines w:val="0"/>
        <w:pageBreakBefore w:val="0"/>
        <w:widowControl w:val="0"/>
        <w:numPr>
          <w:numId w:val="0"/>
        </w:numPr>
        <w:shd w:val="clear" w:color="auto" w:fill="auto"/>
        <w:tabs>
          <w:tab w:val="left" w:pos="236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4" w:name="bookmark22"/>
      <w:bookmarkEnd w:id="14"/>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引进管理和专业技术等各类人才时，给予相关支持。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实施单位：人力资源社会保障部</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楷体" w:hAnsi="楷体" w:eastAsia="楷体" w:cs="楷体"/>
          <w:color w:val="000000"/>
          <w:spacing w:val="0"/>
          <w:w w:val="100"/>
          <w:position w:val="0"/>
          <w:sz w:val="32"/>
          <w:szCs w:val="32"/>
        </w:rPr>
      </w:pPr>
      <w:r>
        <w:rPr>
          <w:rFonts w:hint="eastAsia" w:ascii="楷体" w:hAnsi="楷体" w:eastAsia="楷体" w:cs="楷体"/>
          <w:color w:val="000000"/>
          <w:spacing w:val="0"/>
          <w:w w:val="100"/>
          <w:position w:val="0"/>
          <w:sz w:val="32"/>
          <w:szCs w:val="32"/>
          <w:lang w:eastAsia="zh-CN"/>
        </w:rPr>
        <w:t>（七）</w:t>
      </w:r>
      <w:r>
        <w:rPr>
          <w:rFonts w:hint="eastAsia" w:ascii="楷体" w:hAnsi="楷体" w:eastAsia="楷体" w:cs="楷体"/>
          <w:color w:val="000000"/>
          <w:spacing w:val="0"/>
          <w:w w:val="100"/>
          <w:position w:val="0"/>
          <w:sz w:val="32"/>
          <w:szCs w:val="32"/>
        </w:rPr>
        <w:t>给予土地使用支持</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在政府招标供应土地时，同等条件下予以优先考虑。</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实施单位：国土资源部</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楷体" w:hAnsi="楷体" w:eastAsia="楷体" w:cs="楷体"/>
          <w:color w:val="000000"/>
          <w:spacing w:val="0"/>
          <w:w w:val="100"/>
          <w:position w:val="0"/>
          <w:sz w:val="32"/>
          <w:szCs w:val="32"/>
          <w:lang w:eastAsia="zh-CN"/>
        </w:rPr>
        <w:t>（八）</w:t>
      </w:r>
      <w:r>
        <w:rPr>
          <w:rFonts w:hint="eastAsia" w:ascii="楷体" w:hAnsi="楷体" w:eastAsia="楷体" w:cs="楷体"/>
          <w:color w:val="000000"/>
          <w:spacing w:val="0"/>
          <w:w w:val="100"/>
          <w:position w:val="0"/>
          <w:sz w:val="32"/>
          <w:szCs w:val="32"/>
        </w:rPr>
        <w:t>给予环境保护许可事项支持</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办理环境影响评价文件审批等环境保护许可事项时，同等条件下，依法予以优先办理。</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实施单位：环境保护部</w:t>
      </w:r>
    </w:p>
    <w:p>
      <w:pPr>
        <w:pStyle w:val="5"/>
        <w:keepNext w:val="0"/>
        <w:keepLines w:val="0"/>
        <w:pageBreakBefore w:val="0"/>
        <w:widowControl w:val="0"/>
        <w:shd w:val="clear" w:color="auto" w:fill="auto"/>
        <w:tabs>
          <w:tab w:val="left" w:pos="403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5" w:name="bookmark25"/>
      <w:r>
        <w:rPr>
          <w:rFonts w:hint="eastAsia" w:ascii="楷体" w:hAnsi="楷体" w:eastAsia="楷体" w:cs="楷体"/>
          <w:color w:val="000000"/>
          <w:spacing w:val="0"/>
          <w:w w:val="100"/>
          <w:position w:val="0"/>
          <w:sz w:val="32"/>
          <w:szCs w:val="32"/>
        </w:rPr>
        <w:t>（</w:t>
      </w:r>
      <w:bookmarkEnd w:id="15"/>
      <w:r>
        <w:rPr>
          <w:rFonts w:hint="eastAsia" w:ascii="楷体" w:hAnsi="楷体" w:eastAsia="楷体" w:cs="楷体"/>
          <w:color w:val="000000"/>
          <w:spacing w:val="0"/>
          <w:w w:val="100"/>
          <w:position w:val="0"/>
          <w:sz w:val="32"/>
          <w:szCs w:val="32"/>
        </w:rPr>
        <w:t>九</w:t>
      </w:r>
      <w:r>
        <w:rPr>
          <w:rFonts w:hint="eastAsia" w:ascii="楷体" w:hAnsi="楷体" w:eastAsia="楷体" w:cs="楷体"/>
          <w:color w:val="000000"/>
          <w:spacing w:val="0"/>
          <w:w w:val="100"/>
          <w:position w:val="0"/>
          <w:sz w:val="32"/>
          <w:szCs w:val="32"/>
          <w:lang w:eastAsia="zh-CN"/>
        </w:rPr>
        <w:t>）</w:t>
      </w:r>
      <w:r>
        <w:rPr>
          <w:rFonts w:hint="eastAsia" w:ascii="楷体" w:hAnsi="楷体" w:eastAsia="楷体" w:cs="楷体"/>
          <w:color w:val="000000"/>
          <w:spacing w:val="0"/>
          <w:w w:val="100"/>
          <w:position w:val="0"/>
          <w:sz w:val="32"/>
          <w:szCs w:val="32"/>
        </w:rPr>
        <w:t>住房和城乡建设领域激励措施</w:t>
      </w:r>
    </w:p>
    <w:p>
      <w:pPr>
        <w:pStyle w:val="5"/>
        <w:keepNext w:val="0"/>
        <w:keepLines w:val="0"/>
        <w:pageBreakBefore w:val="0"/>
        <w:widowControl w:val="0"/>
        <w:numPr>
          <w:numId w:val="0"/>
        </w:numPr>
        <w:shd w:val="clear" w:color="auto" w:fill="auto"/>
        <w:tabs>
          <w:tab w:val="left" w:pos="234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建立行政审批</w:t>
      </w:r>
      <w:r>
        <w:rPr>
          <w:rFonts w:hint="eastAsia" w:ascii="仿宋" w:hAnsi="仿宋" w:eastAsia="仿宋" w:cs="仿宋"/>
          <w:color w:val="000000"/>
          <w:spacing w:val="0"/>
          <w:w w:val="100"/>
          <w:position w:val="0"/>
          <w:sz w:val="32"/>
          <w:szCs w:val="32"/>
          <w:lang w:val="zh-CN" w:eastAsia="zh-CN" w:bidi="zh-CN"/>
        </w:rPr>
        <w:t>“绿</w:t>
      </w:r>
      <w:r>
        <w:rPr>
          <w:rFonts w:hint="eastAsia" w:ascii="仿宋" w:hAnsi="仿宋" w:eastAsia="仿宋" w:cs="仿宋"/>
          <w:color w:val="000000"/>
          <w:spacing w:val="0"/>
          <w:w w:val="100"/>
          <w:position w:val="0"/>
          <w:sz w:val="32"/>
          <w:szCs w:val="32"/>
        </w:rPr>
        <w:t>色通道</w:t>
      </w: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rPr>
        <w:t>根据实际情况实施</w:t>
      </w:r>
      <w:r>
        <w:rPr>
          <w:rFonts w:hint="eastAsia" w:ascii="仿宋" w:hAnsi="仿宋" w:eastAsia="仿宋" w:cs="仿宋"/>
          <w:color w:val="000000"/>
          <w:spacing w:val="0"/>
          <w:w w:val="100"/>
          <w:position w:val="0"/>
          <w:sz w:val="32"/>
          <w:szCs w:val="32"/>
          <w:lang w:val="zh-CN" w:eastAsia="zh-CN" w:bidi="zh-CN"/>
        </w:rPr>
        <w:t>“容缺</w:t>
      </w:r>
      <w:r>
        <w:rPr>
          <w:rFonts w:hint="eastAsia" w:ascii="仿宋" w:hAnsi="仿宋" w:eastAsia="仿宋" w:cs="仿宋"/>
          <w:color w:val="000000"/>
          <w:spacing w:val="0"/>
          <w:w w:val="100"/>
          <w:position w:val="0"/>
          <w:sz w:val="32"/>
          <w:szCs w:val="32"/>
        </w:rPr>
        <w:t>受理</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等便利服务措施。除法律法规要求提供的材料外，部分申报材料不齐备的，如其书面承诺在规定期限内提供，可先行受理，加快办理进</w:t>
      </w:r>
      <w:r>
        <w:rPr>
          <w:rFonts w:hint="eastAsia" w:ascii="仿宋" w:hAnsi="仿宋" w:eastAsia="仿宋" w:cs="仿宋"/>
          <w:i w:val="0"/>
          <w:iCs w:val="0"/>
          <w:color w:val="000000"/>
          <w:spacing w:val="0"/>
          <w:w w:val="100"/>
          <w:position w:val="0"/>
          <w:sz w:val="32"/>
          <w:szCs w:val="32"/>
        </w:rPr>
        <w:t>度。</w:t>
      </w:r>
    </w:p>
    <w:p>
      <w:pPr>
        <w:pStyle w:val="5"/>
        <w:keepNext w:val="0"/>
        <w:keepLines w:val="0"/>
        <w:pageBreakBefore w:val="0"/>
        <w:widowControl w:val="0"/>
        <w:numPr>
          <w:numId w:val="0"/>
        </w:numPr>
        <w:shd w:val="clear" w:color="auto" w:fill="auto"/>
        <w:tabs>
          <w:tab w:val="left" w:pos="228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可适度减少常规检查。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实施单位：住房城乡建设部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（十）交通领域激励措施</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在道路运输企业审验、确定经营范围、线路投标等方面给予一定优惠措施。</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实施单位：交通运输部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（十一）金融部门授信融资参考</w:t>
      </w:r>
    </w:p>
    <w:p>
      <w:pPr>
        <w:pStyle w:val="5"/>
        <w:keepNext w:val="0"/>
        <w:keepLines w:val="0"/>
        <w:pageBreakBefore w:val="0"/>
        <w:widowControl w:val="0"/>
        <w:numPr>
          <w:numId w:val="0"/>
        </w:numPr>
        <w:shd w:val="clear" w:color="auto" w:fill="auto"/>
        <w:tabs>
          <w:tab w:val="left" w:pos="232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6" w:name="bookmark28"/>
      <w:bookmarkEnd w:id="16"/>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将安全生产守信情况作为银行等金融机构授信融资贷款的重要参考，合理优化授信审批流程，在风险可控、商业可持续的原则下适当加大贷款支持力度。</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7" w:name="bookmark29"/>
      <w:bookmarkEnd w:id="17"/>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在非金融企业债务融资工具注册过程中，鼓励发行人披露信用信息，提高发行人的市场认可度。</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8" w:name="bookmark30"/>
      <w:bookmarkEnd w:id="18"/>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rPr>
        <w:t>将安全生产守信情况提供给信用服务机构、金融信用信息基础数据库。</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实施单位：中国人民银行、银监会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（十二）在国有资产管理领域作为考核重要参考</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将安全生产守信情况作为相关责任人综合考评、干部选任、评先评优的重要参考。</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实施单位：财政部、国资委</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（十三）给予海关管理支持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将安全生产守信情况作为海关认证企业标准的重要内容。</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9" w:name="bookmark31"/>
      <w:bookmarkEnd w:id="19"/>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办理通关业务时，可适当降低审核或布控查验频次。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实施单位：海关总署</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楷体" w:hAnsi="楷体" w:eastAsia="楷体" w:cs="楷体"/>
          <w:color w:val="000000"/>
          <w:spacing w:val="0"/>
          <w:w w:val="100"/>
          <w:position w:val="0"/>
          <w:sz w:val="32"/>
          <w:szCs w:val="32"/>
          <w:lang w:eastAsia="zh-CN"/>
        </w:rPr>
        <w:t>（十四）</w:t>
      </w:r>
      <w:r>
        <w:rPr>
          <w:rFonts w:hint="eastAsia" w:ascii="楷体" w:hAnsi="楷体" w:eastAsia="楷体" w:cs="楷体"/>
          <w:color w:val="000000"/>
          <w:spacing w:val="0"/>
          <w:w w:val="100"/>
          <w:position w:val="0"/>
          <w:sz w:val="32"/>
          <w:szCs w:val="32"/>
        </w:rPr>
        <w:t>给予税收管理支持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提供</w:t>
      </w:r>
      <w:r>
        <w:rPr>
          <w:rFonts w:hint="eastAsia" w:ascii="仿宋" w:hAnsi="仿宋" w:eastAsia="仿宋" w:cs="仿宋"/>
          <w:color w:val="000000"/>
          <w:spacing w:val="0"/>
          <w:w w:val="100"/>
          <w:position w:val="0"/>
          <w:sz w:val="32"/>
          <w:szCs w:val="32"/>
          <w:lang w:val="zh-CN" w:eastAsia="zh-CN" w:bidi="zh-CN"/>
        </w:rPr>
        <w:t>“绿色</w:t>
      </w:r>
      <w:r>
        <w:rPr>
          <w:rFonts w:hint="eastAsia" w:ascii="仿宋" w:hAnsi="仿宋" w:eastAsia="仿宋" w:cs="仿宋"/>
          <w:color w:val="000000"/>
          <w:spacing w:val="0"/>
          <w:w w:val="100"/>
          <w:position w:val="0"/>
          <w:sz w:val="32"/>
          <w:szCs w:val="32"/>
        </w:rPr>
        <w:t>通道</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或专门人员帮助办理涉税事项。</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实施单位：税务总局</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（十五）检验检疫领域激励措施</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color w:val="000000"/>
          <w:spacing w:val="0"/>
          <w:w w:val="100"/>
          <w:position w:val="0"/>
          <w:sz w:val="32"/>
          <w:szCs w:val="32"/>
        </w:rPr>
      </w:pPr>
      <w:bookmarkStart w:id="20" w:name="bookmark32"/>
      <w:bookmarkEnd w:id="20"/>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优先给予一类管理、适用较低的口岸查验率等检验检疫优惠措施。</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优先安排检验检疫优惠政策的先行先试。</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实施单位：质检总局</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（十六）安全生产领域激励措施</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1" w:name="bookmark34"/>
      <w:bookmarkEnd w:id="21"/>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在制定执法检查计划时，减少对其执法检查的频次。</w:t>
      </w:r>
    </w:p>
    <w:p>
      <w:pPr>
        <w:pStyle w:val="5"/>
        <w:keepNext w:val="0"/>
        <w:keepLines w:val="0"/>
        <w:pageBreakBefore w:val="0"/>
        <w:widowControl w:val="0"/>
        <w:numPr>
          <w:numId w:val="0"/>
        </w:numPr>
        <w:shd w:val="clear" w:color="auto" w:fill="auto"/>
        <w:tabs>
          <w:tab w:val="left" w:pos="232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22" w:name="bookmark35"/>
      <w:bookmarkEnd w:id="22"/>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安全生产许可证到期后可通过申报有关资料，直接延期一个许可周期。</w:t>
      </w:r>
    </w:p>
    <w:p>
      <w:pPr>
        <w:pStyle w:val="5"/>
        <w:keepNext w:val="0"/>
        <w:keepLines w:val="0"/>
        <w:pageBreakBefore w:val="0"/>
        <w:widowControl w:val="0"/>
        <w:numPr>
          <w:numId w:val="0"/>
        </w:numPr>
        <w:shd w:val="clear" w:color="auto" w:fill="auto"/>
        <w:tabs>
          <w:tab w:val="left" w:pos="234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23" w:name="bookmark36"/>
      <w:bookmarkEnd w:id="23"/>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rPr>
        <w:t>在申请安全生产政策性资金、评先评优活动中，予以优先考虑。</w:t>
      </w:r>
    </w:p>
    <w:p>
      <w:pPr>
        <w:pStyle w:val="5"/>
        <w:keepNext w:val="0"/>
        <w:keepLines w:val="0"/>
        <w:pageBreakBefore w:val="0"/>
        <w:widowControl w:val="0"/>
        <w:numPr>
          <w:numId w:val="0"/>
        </w:numPr>
        <w:shd w:val="clear" w:color="auto" w:fill="auto"/>
        <w:tabs>
          <w:tab w:val="left" w:pos="232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4" w:name="bookmark37"/>
      <w:bookmarkEnd w:id="24"/>
      <w:r>
        <w:rPr>
          <w:rFonts w:hint="eastAsia" w:ascii="仿宋" w:hAnsi="仿宋" w:eastAsia="仿宋" w:cs="仿宋"/>
          <w:color w:val="000000"/>
          <w:spacing w:val="0"/>
          <w:w w:val="100"/>
          <w:position w:val="0"/>
          <w:sz w:val="32"/>
          <w:szCs w:val="32"/>
          <w:lang w:val="en-US" w:eastAsia="zh-CN"/>
        </w:rPr>
        <w:t>4.</w:t>
      </w:r>
      <w:r>
        <w:rPr>
          <w:rFonts w:hint="eastAsia" w:ascii="仿宋" w:hAnsi="仿宋" w:eastAsia="仿宋" w:cs="仿宋"/>
          <w:color w:val="000000"/>
          <w:spacing w:val="0"/>
          <w:w w:val="100"/>
          <w:position w:val="0"/>
          <w:sz w:val="32"/>
          <w:szCs w:val="32"/>
        </w:rPr>
        <w:t>优先参与安全生产法规、规章和标准的制修订工作。</w:t>
      </w:r>
    </w:p>
    <w:p>
      <w:pPr>
        <w:pStyle w:val="5"/>
        <w:keepNext w:val="0"/>
        <w:keepLines w:val="0"/>
        <w:pageBreakBefore w:val="0"/>
        <w:widowControl w:val="0"/>
        <w:numPr>
          <w:numId w:val="0"/>
        </w:numPr>
        <w:shd w:val="clear" w:color="auto" w:fill="auto"/>
        <w:tabs>
          <w:tab w:val="left" w:pos="238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5" w:name="bookmark38"/>
      <w:bookmarkEnd w:id="25"/>
      <w:r>
        <w:rPr>
          <w:rFonts w:hint="eastAsia" w:ascii="仿宋" w:hAnsi="仿宋" w:eastAsia="仿宋" w:cs="仿宋"/>
          <w:color w:val="000000"/>
          <w:spacing w:val="0"/>
          <w:w w:val="100"/>
          <w:position w:val="0"/>
          <w:sz w:val="32"/>
          <w:szCs w:val="32"/>
          <w:lang w:val="en-US" w:eastAsia="zh-CN"/>
        </w:rPr>
        <w:t>5.</w:t>
      </w:r>
      <w:r>
        <w:rPr>
          <w:rFonts w:hint="eastAsia" w:ascii="仿宋" w:hAnsi="仿宋" w:eastAsia="仿宋" w:cs="仿宋"/>
          <w:color w:val="000000"/>
          <w:spacing w:val="0"/>
          <w:w w:val="100"/>
          <w:position w:val="0"/>
          <w:sz w:val="32"/>
          <w:szCs w:val="32"/>
        </w:rPr>
        <w:t>建立联合激励对象名录，作为安全生产典型示范企业加以宣传推广。</w:t>
      </w:r>
    </w:p>
    <w:p>
      <w:pPr>
        <w:pStyle w:val="5"/>
        <w:keepNext w:val="0"/>
        <w:keepLines w:val="0"/>
        <w:pageBreakBefore w:val="0"/>
        <w:widowControl w:val="0"/>
        <w:numPr>
          <w:numId w:val="0"/>
        </w:numPr>
        <w:shd w:val="clear" w:color="auto" w:fill="auto"/>
        <w:tabs>
          <w:tab w:val="left" w:pos="230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6" w:name="bookmark39"/>
      <w:bookmarkEnd w:id="26"/>
      <w:r>
        <w:rPr>
          <w:rFonts w:hint="eastAsia" w:ascii="仿宋" w:hAnsi="仿宋" w:eastAsia="仿宋" w:cs="仿宋"/>
          <w:color w:val="000000"/>
          <w:spacing w:val="0"/>
          <w:w w:val="100"/>
          <w:position w:val="0"/>
          <w:sz w:val="32"/>
          <w:szCs w:val="32"/>
          <w:lang w:val="en-US" w:eastAsia="zh-CN"/>
        </w:rPr>
        <w:t>6.</w:t>
      </w:r>
      <w:r>
        <w:rPr>
          <w:rFonts w:hint="eastAsia" w:ascii="仿宋" w:hAnsi="仿宋" w:eastAsia="仿宋" w:cs="仿宋"/>
          <w:color w:val="000000"/>
          <w:spacing w:val="0"/>
          <w:w w:val="100"/>
          <w:position w:val="0"/>
          <w:sz w:val="32"/>
          <w:szCs w:val="32"/>
        </w:rPr>
        <w:t>地方各级安全监管部门和各级煤矿安全监察机构还可结合实际，依法依规釆取其他激励措施。</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实施单位：安全监管总局</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（十七）给予食品药品管理支持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办理食品药品生产经营审批事项时，在标准不降低、程序不减少的情况下，依法依规，优先办理行政审批、资质审核、备案等手续，通过</w:t>
      </w:r>
      <w:r>
        <w:rPr>
          <w:rFonts w:hint="eastAsia" w:ascii="仿宋" w:hAnsi="仿宋" w:eastAsia="仿宋" w:cs="仿宋"/>
          <w:color w:val="000000"/>
          <w:spacing w:val="0"/>
          <w:w w:val="100"/>
          <w:position w:val="0"/>
          <w:sz w:val="32"/>
          <w:szCs w:val="32"/>
          <w:lang w:val="zh-CN" w:eastAsia="zh-CN" w:bidi="zh-CN"/>
        </w:rPr>
        <w:t>“绿色</w:t>
      </w:r>
      <w:r>
        <w:rPr>
          <w:rFonts w:hint="eastAsia" w:ascii="仿宋" w:hAnsi="仿宋" w:eastAsia="仿宋" w:cs="仿宋"/>
          <w:color w:val="000000"/>
          <w:spacing w:val="0"/>
          <w:w w:val="100"/>
          <w:position w:val="0"/>
          <w:sz w:val="32"/>
          <w:szCs w:val="32"/>
        </w:rPr>
        <w:t>通道</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加快审批进度。</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实施单位：食品药品监管总局</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（十八）给予证券领域政策支持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审批证券公司、基金管理公司、期货公司设立、变更等时，将企业信用信息作为重要参考。</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实施单位：证监会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（十九）给予保险领域政策支持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指导保险公司根据安全生产风险水平，对安全生产责任保险实施差异化费率。</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实施单位：保监会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（二十）优先给予先进荣誉</w:t>
      </w:r>
    </w:p>
    <w:p>
      <w:pPr>
        <w:pStyle w:val="5"/>
        <w:keepNext w:val="0"/>
        <w:keepLines w:val="0"/>
        <w:pageBreakBefore w:val="0"/>
        <w:widowControl w:val="0"/>
        <w:numPr>
          <w:numId w:val="0"/>
        </w:numPr>
        <w:shd w:val="clear" w:color="auto" w:fill="auto"/>
        <w:tabs>
          <w:tab w:val="left" w:pos="236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7" w:name="bookmark40"/>
      <w:bookmarkEnd w:id="27"/>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在文明城市、文明单位评比中予以优先考虑。</w:t>
      </w:r>
    </w:p>
    <w:p>
      <w:pPr>
        <w:pStyle w:val="5"/>
        <w:keepNext w:val="0"/>
        <w:keepLines w:val="0"/>
        <w:pageBreakBefore w:val="0"/>
        <w:widowControl w:val="0"/>
        <w:numPr>
          <w:numId w:val="0"/>
        </w:numPr>
        <w:shd w:val="clear" w:color="auto" w:fill="auto"/>
        <w:tabs>
          <w:tab w:val="left" w:pos="244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8" w:name="bookmark41"/>
      <w:bookmarkEnd w:id="28"/>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在评选五一劳动奖章时予以优先考虑。</w:t>
      </w:r>
    </w:p>
    <w:p>
      <w:pPr>
        <w:pStyle w:val="5"/>
        <w:keepNext w:val="0"/>
        <w:keepLines w:val="0"/>
        <w:pageBreakBefore w:val="0"/>
        <w:widowControl w:val="0"/>
        <w:numPr>
          <w:numId w:val="0"/>
        </w:numPr>
        <w:shd w:val="clear" w:color="auto" w:fill="auto"/>
        <w:tabs>
          <w:tab w:val="left" w:pos="244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rPr>
        <w:t>在评选“全国三八红旗手</w:t>
      </w:r>
      <w:r>
        <w:rPr>
          <w:rFonts w:hint="eastAsia" w:ascii="仿宋" w:hAnsi="仿宋" w:eastAsia="仿宋" w:cs="仿宋"/>
          <w:color w:val="000000"/>
          <w:spacing w:val="0"/>
          <w:w w:val="100"/>
          <w:position w:val="0"/>
          <w:sz w:val="32"/>
          <w:szCs w:val="32"/>
          <w:lang w:val="zh-CN" w:eastAsia="zh-CN" w:bidi="zh-CN"/>
        </w:rPr>
        <w:t>”时予</w:t>
      </w:r>
      <w:r>
        <w:rPr>
          <w:rFonts w:hint="eastAsia" w:ascii="仿宋" w:hAnsi="仿宋" w:eastAsia="仿宋" w:cs="仿宋"/>
          <w:color w:val="000000"/>
          <w:spacing w:val="0"/>
          <w:w w:val="100"/>
          <w:position w:val="0"/>
          <w:sz w:val="32"/>
          <w:szCs w:val="32"/>
        </w:rPr>
        <w:t>以优先考虑。</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实施单位:中央文明办、全国总工会、全国妇联</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（二十一）给予促进外贸投资支持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w:t>
      </w:r>
      <w:r>
        <w:rPr>
          <w:rFonts w:hint="eastAsia" w:ascii="仿宋" w:hAnsi="仿宋" w:eastAsia="仿宋" w:cs="仿宋"/>
          <w:color w:val="000000"/>
          <w:spacing w:val="0"/>
          <w:w w:val="100"/>
          <w:position w:val="0"/>
          <w:sz w:val="32"/>
          <w:szCs w:val="32"/>
        </w:rPr>
        <w:t>举办和组织企业参加经贸展览会、论坛、洽谈会及有关国际会议时给予优先考虑。</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2.在法律咨询、法律顾问、商事调解、经贸摩擦应对等方面优先提供咨询和支持。</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29" w:name="bookmark43"/>
      <w:bookmarkEnd w:id="29"/>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rPr>
        <w:t>优先提供专利申请、商标注册、诉讼维权等知识产权方面服务。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实施单位：贸促会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（二十二）其他激励措施</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将安全生产守信情况作为各部门在本行业、本领域内向有关生产经营单位和个人颁发荣誉证书、嘉奖和表彰等荣誉性称号的重要参考，优先给予奖励和表彰。</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实施单位：各有关部门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30" w:name="bookmark44"/>
      <w:r>
        <w:rPr>
          <w:rFonts w:hint="eastAsia" w:ascii="黑体" w:hAnsi="黑体" w:eastAsia="黑体" w:cs="黑体"/>
          <w:color w:val="000000"/>
          <w:spacing w:val="0"/>
          <w:w w:val="100"/>
          <w:position w:val="0"/>
          <w:sz w:val="32"/>
          <w:szCs w:val="32"/>
        </w:rPr>
        <w:t>三</w:t>
      </w:r>
      <w:bookmarkEnd w:id="30"/>
      <w:r>
        <w:rPr>
          <w:rFonts w:hint="eastAsia" w:ascii="黑体" w:hAnsi="黑体" w:eastAsia="黑体" w:cs="黑体"/>
          <w:color w:val="000000"/>
          <w:spacing w:val="0"/>
          <w:w w:val="100"/>
          <w:position w:val="0"/>
          <w:sz w:val="32"/>
          <w:szCs w:val="32"/>
        </w:rPr>
        <w:t>、信息共享与联合激励的实施方式</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国家发展改革委基于全国信用信息共享平台建立守信联合激励系统。安全监管总局通过该系统向签署本备忘录的相关部门提供安全生产领域守法诚信信息，并按照有关规定动态更新。同时，在</w:t>
      </w:r>
      <w:r>
        <w:rPr>
          <w:rFonts w:hint="eastAsia" w:ascii="仿宋" w:hAnsi="仿宋" w:eastAsia="仿宋" w:cs="仿宋"/>
          <w:color w:val="000000"/>
          <w:spacing w:val="0"/>
          <w:w w:val="100"/>
          <w:position w:val="0"/>
          <w:sz w:val="32"/>
          <w:szCs w:val="32"/>
          <w:lang w:val="zh-CN" w:eastAsia="zh-CN" w:bidi="zh-CN"/>
        </w:rPr>
        <w:t>“信</w:t>
      </w:r>
      <w:r>
        <w:rPr>
          <w:rFonts w:hint="eastAsia" w:ascii="仿宋" w:hAnsi="仿宋" w:eastAsia="仿宋" w:cs="仿宋"/>
          <w:color w:val="000000"/>
          <w:spacing w:val="0"/>
          <w:w w:val="100"/>
          <w:position w:val="0"/>
          <w:sz w:val="32"/>
          <w:szCs w:val="32"/>
        </w:rPr>
        <w:t>用中国</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网站、安全监管总局政府网站等向社会公布。各部门从全国信用信息共享平台守信联合激励系统中获取安全生产领域守法诚信信息，执行或协助执行本备忘录规定的激励措施，定期将联合激励实施情况通过该系统反馈给国家发展改革委和安全监管总局。</w:t>
      </w:r>
    </w:p>
    <w:p>
      <w:pPr>
        <w:pStyle w:val="5"/>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1" w:name="bookmark45"/>
      <w:r>
        <w:rPr>
          <w:rFonts w:hint="eastAsia" w:ascii="黑体" w:hAnsi="黑体" w:eastAsia="黑体" w:cs="黑体"/>
          <w:color w:val="000000"/>
          <w:spacing w:val="0"/>
          <w:w w:val="100"/>
          <w:position w:val="0"/>
          <w:sz w:val="32"/>
          <w:szCs w:val="32"/>
        </w:rPr>
        <w:t>四</w:t>
      </w:r>
      <w:bookmarkEnd w:id="31"/>
      <w:r>
        <w:rPr>
          <w:rFonts w:hint="eastAsia" w:ascii="黑体" w:hAnsi="黑体" w:eastAsia="黑体" w:cs="黑体"/>
          <w:color w:val="000000"/>
          <w:spacing w:val="0"/>
          <w:w w:val="100"/>
          <w:position w:val="0"/>
          <w:sz w:val="32"/>
          <w:szCs w:val="32"/>
        </w:rPr>
        <w:t>、联合激励的动态管理</w:t>
      </w:r>
    </w:p>
    <w:p>
      <w:pPr>
        <w:pStyle w:val="5"/>
        <w:keepNext w:val="0"/>
        <w:keepLines w:val="0"/>
        <w:pageBreakBefore w:val="0"/>
        <w:widowControl w:val="0"/>
        <w:shd w:val="clear" w:color="auto" w:fill="auto"/>
        <w:tabs>
          <w:tab w:val="left" w:pos="330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安全监管总局实时、动态监控安全生产领域守信朕合激励对象的守法诚信情况，一经发现其存在违法失信行为，立即停止对其施行守信联合激励措施并及时通报各部门。各部门在日常监管中，发现安全生产领域守信联合激励对象存在违法失信行为，应及时通过全国信用信息共享平台，反馈国家发展改革委和安全监管总局，提供有关情况并建议停止对其施行守信联合激励措施。全国信用信息共享平台将安全生产领域守信联合激励对象名单与各领域失信联合惩戒对象名单进行交叉比对，确保已被纳入失信联合惩戒对象名单的，不被确定为联合激励对象</w:t>
      </w:r>
      <w:r>
        <w:rPr>
          <w:rFonts w:hint="eastAsia" w:ascii="仿宋" w:hAnsi="仿宋" w:eastAsia="仿宋" w:cs="仿宋"/>
          <w:color w:val="000000"/>
          <w:spacing w:val="0"/>
          <w:w w:val="100"/>
          <w:position w:val="0"/>
          <w:sz w:val="32"/>
          <w:szCs w:val="32"/>
          <w:lang w:eastAsia="zh-CN"/>
        </w:rPr>
        <w:t>。</w:t>
      </w:r>
      <w:bookmarkStart w:id="32" w:name="bookmark46"/>
    </w:p>
    <w:p>
      <w:pPr>
        <w:pStyle w:val="5"/>
        <w:keepNext w:val="0"/>
        <w:keepLines w:val="0"/>
        <w:pageBreakBefore w:val="0"/>
        <w:widowControl w:val="0"/>
        <w:shd w:val="clear" w:color="auto" w:fill="auto"/>
        <w:tabs>
          <w:tab w:val="left" w:pos="330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五</w:t>
      </w:r>
      <w:bookmarkEnd w:id="32"/>
      <w:r>
        <w:rPr>
          <w:rFonts w:hint="eastAsia" w:ascii="黑体" w:hAnsi="黑体" w:eastAsia="黑体" w:cs="黑体"/>
          <w:color w:val="000000"/>
          <w:spacing w:val="0"/>
          <w:w w:val="100"/>
          <w:position w:val="0"/>
          <w:sz w:val="32"/>
          <w:szCs w:val="32"/>
        </w:rPr>
        <w:t>、其他事宜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各部门应密切协作，积极落实本备忘录，指导和要求本系统依法依规实施激励措施。</w:t>
      </w:r>
      <w:bookmarkStart w:id="33" w:name="_GoBack"/>
      <w:bookmarkEnd w:id="33"/>
      <w:r>
        <w:rPr>
          <w:rFonts w:hint="eastAsia" w:ascii="仿宋" w:hAnsi="仿宋" w:eastAsia="仿宋" w:cs="仿宋"/>
          <w:color w:val="000000"/>
          <w:spacing w:val="0"/>
          <w:w w:val="100"/>
          <w:position w:val="0"/>
          <w:sz w:val="32"/>
          <w:szCs w:val="32"/>
        </w:rPr>
        <w:t>在安全生产领域守信联合激励措施实施过程中如遇具体操作问题，由各部门另行协商明确。本备忘录签署后,各领域相关法律法规有新出台或修订的，以新出台或修订的法律法规为准。</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 w:hAnsi="仿宋" w:eastAsia="仿宋" w:cs="仿宋"/>
          <w:sz w:val="32"/>
          <w:szCs w:val="32"/>
        </w:rPr>
      </w:pP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jc w:val="both"/>
        <w:textAlignment w:val="auto"/>
        <w:rPr>
          <w:rFonts w:hint="eastAsia" w:ascii="仿宋" w:hAnsi="仿宋" w:eastAsia="仿宋" w:cs="仿宋"/>
          <w:color w:val="000000"/>
          <w:spacing w:val="0"/>
          <w:w w:val="100"/>
          <w:position w:val="0"/>
          <w:sz w:val="32"/>
          <w:szCs w:val="32"/>
          <w:lang w:eastAsia="zh-CN"/>
        </w:rPr>
      </w:pPr>
    </w:p>
    <w:sectPr>
      <w:pgSz w:w="11906" w:h="16838"/>
      <w:pgMar w:top="1871" w:right="1417" w:bottom="187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67592"/>
    <w:rsid w:val="3620005A"/>
    <w:rsid w:val="53C2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34" w:lineRule="auto"/>
    </w:pPr>
    <w:rPr>
      <w:rFonts w:ascii="宋体" w:hAnsi="宋体" w:eastAsia="宋体" w:cs="宋体"/>
      <w:sz w:val="78"/>
      <w:szCs w:val="78"/>
      <w:u w:val="none"/>
      <w:shd w:val="clear" w:color="auto" w:fill="auto"/>
      <w:lang w:val="zh-TW" w:eastAsia="zh-TW" w:bidi="zh-TW"/>
    </w:rPr>
  </w:style>
  <w:style w:type="paragraph" w:customStyle="1" w:styleId="6">
    <w:name w:val="Body text|5"/>
    <w:basedOn w:val="1"/>
    <w:qFormat/>
    <w:uiPriority w:val="0"/>
    <w:pPr>
      <w:widowControl w:val="0"/>
      <w:shd w:val="clear" w:color="auto" w:fill="auto"/>
    </w:pPr>
    <w:rPr>
      <w:b/>
      <w:bCs/>
      <w:sz w:val="30"/>
      <w:szCs w:val="30"/>
      <w:u w:val="none"/>
      <w:shd w:val="clear" w:color="auto" w:fill="FFFFFF"/>
    </w:rPr>
  </w:style>
  <w:style w:type="paragraph" w:customStyle="1" w:styleId="7">
    <w:name w:val="Body text|3"/>
    <w:basedOn w:val="1"/>
    <w:qFormat/>
    <w:uiPriority w:val="0"/>
    <w:pPr>
      <w:widowControl w:val="0"/>
      <w:shd w:val="clear" w:color="auto" w:fill="auto"/>
    </w:pPr>
    <w:rPr>
      <w:b/>
      <w:bCs/>
      <w:u w:val="none"/>
      <w:shd w:val="clear" w:color="auto" w:fill="FFFFFF"/>
    </w:rPr>
  </w:style>
  <w:style w:type="paragraph" w:customStyle="1" w:styleId="8">
    <w:name w:val="Body text|4"/>
    <w:basedOn w:val="1"/>
    <w:qFormat/>
    <w:uiPriority w:val="0"/>
    <w:pPr>
      <w:widowControl w:val="0"/>
      <w:shd w:val="clear" w:color="auto" w:fill="auto"/>
    </w:pPr>
    <w:rPr>
      <w:sz w:val="54"/>
      <w:szCs w:val="54"/>
      <w:u w:val="none"/>
      <w:shd w:val="clear" w:color="auto" w:fill="FFFFFF"/>
    </w:rPr>
  </w:style>
  <w:style w:type="paragraph" w:customStyle="1" w:styleId="9">
    <w:name w:val="Header or footer|1"/>
    <w:basedOn w:val="1"/>
    <w:qFormat/>
    <w:uiPriority w:val="0"/>
    <w:pPr>
      <w:widowControl w:val="0"/>
      <w:shd w:val="clear" w:color="auto" w:fill="auto"/>
      <w:ind w:left="-10"/>
      <w:jc w:val="center"/>
    </w:pPr>
    <w:rPr>
      <w:sz w:val="62"/>
      <w:szCs w:val="6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2020-06-30T07:30:00Z</dcterms:created>
  <dc:creator>Administrator</dc:creator>
  <cp:lastModifiedBy> 丽  小木  </cp:lastModifiedBy>
  <dcterms:modified xsi:type="dcterms:W3CDTF">2020-07-01T01:21:13Z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