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textAlignment w:val="auto"/>
        <w:rPr>
          <w:rFonts w:hint="eastAsia" w:ascii="仿宋" w:hAnsi="仿宋" w:eastAsia="仿宋" w:cs="仿宋"/>
          <w:color w:val="000000"/>
          <w:spacing w:val="0"/>
          <w:w w:val="100"/>
          <w:position w:val="0"/>
          <w:sz w:val="32"/>
          <w:szCs w:val="32"/>
          <w:lang w:eastAsia="zh-CN"/>
        </w:rPr>
      </w:pPr>
      <w:bookmarkStart w:id="0" w:name="bookmark4"/>
      <w:bookmarkStart w:id="1" w:name="bookmark3"/>
      <w:bookmarkStart w:id="2" w:name="bookmark5"/>
      <w:r>
        <w:rPr>
          <w:rFonts w:hint="eastAsia" w:ascii="仿宋" w:hAnsi="仿宋" w:eastAsia="仿宋" w:cs="仿宋"/>
          <w:color w:val="000000"/>
          <w:spacing w:val="0"/>
          <w:w w:val="100"/>
          <w:position w:val="0"/>
          <w:sz w:val="32"/>
          <w:szCs w:val="32"/>
          <w:lang w:eastAsia="zh-CN"/>
        </w:rPr>
        <w:t>附件：</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textAlignment w:val="auto"/>
        <w:rPr>
          <w:rFonts w:hint="eastAsia" w:ascii="仿宋" w:hAnsi="仿宋" w:eastAsia="仿宋" w:cs="仿宋"/>
          <w:color w:val="000000"/>
          <w:spacing w:val="0"/>
          <w:w w:val="100"/>
          <w:position w:val="0"/>
          <w:sz w:val="32"/>
          <w:szCs w:val="32"/>
          <w:lang w:eastAsia="zh-CN"/>
        </w:rPr>
      </w:pPr>
    </w:p>
    <w:p>
      <w:pPr>
        <w:pStyle w:val="13"/>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关于对电子商务及分享经济领域炒信行为</w:t>
      </w:r>
      <w:r>
        <w:rPr>
          <w:rFonts w:hint="eastAsia" w:ascii="方正小标宋简体" w:hAnsi="方正小标宋简体" w:eastAsia="方正小标宋简体" w:cs="方正小标宋简体"/>
          <w:color w:val="000000"/>
          <w:spacing w:val="0"/>
          <w:w w:val="100"/>
          <w:position w:val="0"/>
          <w:sz w:val="44"/>
          <w:szCs w:val="44"/>
          <w:lang w:eastAsia="zh-CN"/>
        </w:rPr>
        <w:t>相</w:t>
      </w:r>
      <w:r>
        <w:rPr>
          <w:rFonts w:hint="eastAsia" w:ascii="方正小标宋简体" w:hAnsi="方正小标宋简体" w:eastAsia="方正小标宋简体" w:cs="方正小标宋简体"/>
          <w:color w:val="000000"/>
          <w:spacing w:val="0"/>
          <w:w w:val="100"/>
          <w:position w:val="0"/>
          <w:sz w:val="44"/>
          <w:szCs w:val="44"/>
        </w:rPr>
        <w:t>关失信主体实施联合惩戒的行动计划</w:t>
      </w:r>
      <w:bookmarkEnd w:id="0"/>
      <w:bookmarkEnd w:id="1"/>
      <w:bookmarkEnd w:id="2"/>
      <w:bookmarkStart w:id="24" w:name="_GoBack"/>
      <w:bookmarkEnd w:id="24"/>
    </w:p>
    <w:p>
      <w:pPr>
        <w:pStyle w:val="13"/>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11"/>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为深入贯彻党的十八大和十八届三中、四中、五中全会精神，落实《国务院关于印发社会信用体系建设规划纲要</w:t>
      </w:r>
      <w:r>
        <w:rPr>
          <w:rFonts w:hint="eastAsia" w:ascii="仿宋" w:hAnsi="仿宋" w:eastAsia="仿宋" w:cs="仿宋"/>
          <w:b w:val="0"/>
          <w:bCs w:val="0"/>
          <w:color w:val="000000"/>
          <w:spacing w:val="0"/>
          <w:w w:val="100"/>
          <w:position w:val="0"/>
          <w:sz w:val="32"/>
          <w:szCs w:val="32"/>
          <w:lang w:val="en-US" w:eastAsia="en-US" w:bidi="en-US"/>
        </w:rPr>
        <w:t>（2014—2020</w:t>
      </w:r>
      <w:r>
        <w:rPr>
          <w:rFonts w:hint="eastAsia" w:ascii="仿宋" w:hAnsi="仿宋" w:eastAsia="仿宋" w:cs="仿宋"/>
          <w:color w:val="000000"/>
          <w:spacing w:val="0"/>
          <w:w w:val="100"/>
          <w:position w:val="0"/>
          <w:sz w:val="32"/>
          <w:szCs w:val="32"/>
        </w:rPr>
        <w:t>年）的通知》（国发〔</w:t>
      </w:r>
      <w:r>
        <w:rPr>
          <w:rFonts w:hint="eastAsia" w:ascii="仿宋" w:hAnsi="仿宋" w:eastAsia="仿宋" w:cs="仿宋"/>
          <w:b w:val="0"/>
          <w:bCs w:val="0"/>
          <w:color w:val="000000"/>
          <w:spacing w:val="0"/>
          <w:w w:val="100"/>
          <w:position w:val="0"/>
          <w:sz w:val="32"/>
          <w:szCs w:val="32"/>
        </w:rPr>
        <w:t>2014〕21</w:t>
      </w:r>
      <w:r>
        <w:rPr>
          <w:rFonts w:hint="eastAsia" w:ascii="仿宋" w:hAnsi="仿宋" w:eastAsia="仿宋" w:cs="仿宋"/>
          <w:color w:val="000000"/>
          <w:spacing w:val="0"/>
          <w:w w:val="100"/>
          <w:position w:val="0"/>
          <w:sz w:val="32"/>
          <w:szCs w:val="32"/>
        </w:rPr>
        <w:t>号）、《国务院关于建立完善守信联合激励和失信联合惩戒制度加快推进社会诚信建设的指导意见》（国发〔</w:t>
      </w:r>
      <w:r>
        <w:rPr>
          <w:rFonts w:hint="eastAsia" w:ascii="仿宋" w:hAnsi="仿宋" w:eastAsia="仿宋" w:cs="仿宋"/>
          <w:b w:val="0"/>
          <w:bCs w:val="0"/>
          <w:color w:val="000000"/>
          <w:spacing w:val="0"/>
          <w:w w:val="100"/>
          <w:position w:val="0"/>
          <w:sz w:val="32"/>
          <w:szCs w:val="32"/>
        </w:rPr>
        <w:t>2016〕33</w:t>
      </w:r>
      <w:r>
        <w:rPr>
          <w:rFonts w:hint="eastAsia" w:ascii="仿宋" w:hAnsi="仿宋" w:eastAsia="仿宋" w:cs="仿宋"/>
          <w:color w:val="000000"/>
          <w:spacing w:val="0"/>
          <w:w w:val="100"/>
          <w:position w:val="0"/>
          <w:sz w:val="32"/>
          <w:szCs w:val="32"/>
        </w:rPr>
        <w:t>号</w:t>
      </w:r>
      <w:r>
        <w:rPr>
          <w:rFonts w:hint="eastAsia" w:ascii="仿宋" w:hAnsi="仿宋" w:eastAsia="仿宋" w:cs="仿宋"/>
          <w:i/>
          <w:iCs/>
          <w:color w:val="000000"/>
          <w:spacing w:val="0"/>
          <w:w w:val="100"/>
          <w:position w:val="0"/>
          <w:sz w:val="32"/>
          <w:szCs w:val="32"/>
        </w:rPr>
        <w:t>）</w:t>
      </w:r>
      <w:r>
        <w:rPr>
          <w:rFonts w:hint="eastAsia" w:ascii="仿宋" w:hAnsi="仿宋" w:eastAsia="仿宋" w:cs="仿宋"/>
          <w:color w:val="000000"/>
          <w:spacing w:val="0"/>
          <w:w w:val="100"/>
          <w:position w:val="0"/>
          <w:sz w:val="32"/>
          <w:szCs w:val="32"/>
        </w:rPr>
        <w:t>等文件精神，进一步加强电子商务及分享经济领域信用体系建设，规范网络交易行为，提升网上交易主体信用真实度，维护信用秩序，净化市场环境，国家发展改革委、人民银行、中央网信办、公安部、商务部、工商总局、质检总局和中消协等单位开展反炒信联合行动，对电子商务及分享经济领域炒信行为主体进行惩戒，鼓励和引导有关</w:t>
      </w:r>
      <w:r>
        <w:rPr>
          <w:rFonts w:hint="eastAsia" w:ascii="仿宋" w:hAnsi="仿宋" w:eastAsia="仿宋" w:cs="仿宋"/>
          <w:color w:val="000000"/>
          <w:spacing w:val="-20"/>
          <w:w w:val="100"/>
          <w:position w:val="0"/>
          <w:sz w:val="32"/>
          <w:szCs w:val="32"/>
        </w:rPr>
        <w:t>企业参加联合行动。</w:t>
      </w:r>
    </w:p>
    <w:p>
      <w:pPr>
        <w:pStyle w:val="11"/>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left"/>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一、联合行动机制</w:t>
      </w:r>
    </w:p>
    <w:p>
      <w:pPr>
        <w:pStyle w:val="11"/>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是指在电子商务及分享经济领域以虚构交易和好评、删除不利评价等形式为自己或他人提升信用水平，包括但不限于恶意注册、刷单炒信、虚假评价、刷单骗补以及泄露倒卖个人信息、合谋寄递空包裹等违法违规行为。</w:t>
      </w:r>
    </w:p>
    <w:p>
      <w:pPr>
        <w:pStyle w:val="11"/>
        <w:keepNext/>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bookmarkStart w:id="3" w:name="bookmark6"/>
      <w:r>
        <w:rPr>
          <w:rFonts w:hint="eastAsia" w:ascii="仿宋" w:hAnsi="仿宋" w:eastAsia="仿宋" w:cs="仿宋"/>
          <w:color w:val="000000"/>
          <w:spacing w:val="0"/>
          <w:w w:val="100"/>
          <w:position w:val="0"/>
          <w:sz w:val="32"/>
          <w:szCs w:val="32"/>
        </w:rPr>
        <w:t>（</w:t>
      </w:r>
      <w:bookmarkEnd w:id="3"/>
      <w:r>
        <w:rPr>
          <w:rFonts w:hint="eastAsia" w:ascii="仿宋" w:hAnsi="仿宋" w:eastAsia="仿宋" w:cs="仿宋"/>
          <w:color w:val="000000"/>
          <w:spacing w:val="0"/>
          <w:w w:val="100"/>
          <w:position w:val="0"/>
          <w:sz w:val="32"/>
          <w:szCs w:val="32"/>
        </w:rPr>
        <w:t>一）国家发展改革委基于全国信用信息共享平台建立电子商务及分享经济领域</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信”行为联合惩戒子系统，将涉嫌违法违规的</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信黑名单”</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信黑名单”是指组织、参与、协助</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信”的各类主体，包括但不限于为</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信”行为提供账号服务、数据服务、技术服务、物流服务、资金服务、信息传播服务的单位、个人、网站、移动应用程序等）推送至有关部门，会同各有关部门依法对</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信”行为责任单位及其法定代表人、主要负责人、直接责任人（以下简称</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信”主体）进行联合惩戒。</w:t>
      </w:r>
    </w:p>
    <w:p>
      <w:pPr>
        <w:pStyle w:val="11"/>
        <w:keepNext w:val="0"/>
        <w:keepLines w:val="0"/>
        <w:pageBreakBefore w:val="0"/>
        <w:widowControl w:val="0"/>
        <w:shd w:val="clear" w:color="auto" w:fill="auto"/>
        <w:tabs>
          <w:tab w:val="left" w:pos="1603"/>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lang w:eastAsia="zh-CN"/>
        </w:rPr>
      </w:pPr>
      <w:bookmarkStart w:id="4" w:name="bookmark7"/>
      <w:r>
        <w:rPr>
          <w:rFonts w:hint="eastAsia" w:ascii="仿宋" w:hAnsi="仿宋" w:eastAsia="仿宋" w:cs="仿宋"/>
          <w:color w:val="000000"/>
          <w:spacing w:val="0"/>
          <w:w w:val="100"/>
          <w:position w:val="0"/>
          <w:sz w:val="32"/>
          <w:szCs w:val="32"/>
        </w:rPr>
        <w:t>（</w:t>
      </w:r>
      <w:bookmarkEnd w:id="4"/>
      <w:r>
        <w:rPr>
          <w:rFonts w:hint="eastAsia" w:ascii="仿宋" w:hAnsi="仿宋" w:eastAsia="仿宋" w:cs="仿宋"/>
          <w:color w:val="000000"/>
          <w:spacing w:val="0"/>
          <w:w w:val="100"/>
          <w:position w:val="0"/>
          <w:sz w:val="32"/>
          <w:szCs w:val="32"/>
        </w:rPr>
        <w:t>二）</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国家发展改革委将全国信用信息共享平台掌握的相关市场主体基础信息、信用信息向参加联合行动的企业开放共享，为企业对</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信”主体信息进行分析、比对和应用提供便利</w:t>
      </w:r>
      <w:r>
        <w:rPr>
          <w:rFonts w:hint="eastAsia" w:ascii="仿宋" w:hAnsi="仿宋" w:eastAsia="仿宋" w:cs="仿宋"/>
          <w:color w:val="000000"/>
          <w:spacing w:val="0"/>
          <w:w w:val="100"/>
          <w:position w:val="0"/>
          <w:sz w:val="32"/>
          <w:szCs w:val="32"/>
          <w:lang w:eastAsia="zh-CN"/>
        </w:rPr>
        <w:t>。</w:t>
      </w:r>
    </w:p>
    <w:p>
      <w:pPr>
        <w:pStyle w:val="11"/>
        <w:keepNext w:val="0"/>
        <w:keepLines w:val="0"/>
        <w:pageBreakBefore w:val="0"/>
        <w:widowControl w:val="0"/>
        <w:shd w:val="clear" w:color="auto" w:fill="auto"/>
        <w:tabs>
          <w:tab w:val="left" w:pos="1598"/>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bookmarkStart w:id="5" w:name="bookmark8"/>
      <w:r>
        <w:rPr>
          <w:rFonts w:hint="eastAsia" w:ascii="仿宋" w:hAnsi="仿宋" w:eastAsia="仿宋" w:cs="仿宋"/>
          <w:color w:val="000000"/>
          <w:spacing w:val="0"/>
          <w:w w:val="100"/>
          <w:position w:val="0"/>
          <w:sz w:val="32"/>
          <w:szCs w:val="32"/>
        </w:rPr>
        <w:t>（</w:t>
      </w:r>
      <w:bookmarkEnd w:id="5"/>
      <w:r>
        <w:rPr>
          <w:rFonts w:hint="eastAsia" w:ascii="仿宋" w:hAnsi="仿宋" w:eastAsia="仿宋" w:cs="仿宋"/>
          <w:color w:val="000000"/>
          <w:spacing w:val="0"/>
          <w:w w:val="100"/>
          <w:position w:val="0"/>
          <w:sz w:val="32"/>
          <w:szCs w:val="32"/>
        </w:rPr>
        <w:t>三）指导企业进一步加强内部信用管理，进一步完善对</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信”行为的监测监控。鼓励企业签署反炒信信息共享协议，参加联合行动，通过全国信用信息共享平台定期共享</w:t>
      </w:r>
      <w:r>
        <w:rPr>
          <w:rFonts w:hint="eastAsia" w:ascii="仿宋" w:hAnsi="仿宋" w:eastAsia="仿宋" w:cs="仿宋"/>
          <w:color w:val="000000"/>
          <w:spacing w:val="0"/>
          <w:w w:val="100"/>
          <w:position w:val="0"/>
          <w:sz w:val="32"/>
          <w:szCs w:val="32"/>
          <w:lang w:val="zh-CN" w:eastAsia="zh-CN" w:bidi="zh-CN"/>
        </w:rPr>
        <w:t>“炒信</w:t>
      </w:r>
      <w:r>
        <w:rPr>
          <w:rFonts w:hint="eastAsia" w:ascii="仿宋" w:hAnsi="仿宋" w:eastAsia="仿宋" w:cs="仿宋"/>
          <w:color w:val="000000"/>
          <w:spacing w:val="0"/>
          <w:w w:val="100"/>
          <w:position w:val="0"/>
          <w:sz w:val="32"/>
          <w:szCs w:val="32"/>
        </w:rPr>
        <w:t>黑名单</w:t>
      </w:r>
      <w:r>
        <w:rPr>
          <w:rFonts w:hint="eastAsia" w:ascii="仿宋" w:hAnsi="仿宋" w:eastAsia="仿宋" w:cs="仿宋"/>
          <w:color w:val="000000"/>
          <w:spacing w:val="0"/>
          <w:w w:val="100"/>
          <w:position w:val="0"/>
          <w:sz w:val="32"/>
          <w:szCs w:val="32"/>
          <w:lang w:val="zh-CN" w:eastAsia="zh-CN" w:bidi="zh-CN"/>
        </w:rPr>
        <w:t>”信</w:t>
      </w:r>
      <w:r>
        <w:rPr>
          <w:rFonts w:hint="eastAsia" w:ascii="仿宋" w:hAnsi="仿宋" w:eastAsia="仿宋" w:cs="仿宋"/>
          <w:color w:val="000000"/>
          <w:spacing w:val="0"/>
          <w:w w:val="100"/>
          <w:position w:val="0"/>
          <w:sz w:val="32"/>
          <w:szCs w:val="32"/>
        </w:rPr>
        <w:t>息，并在参加联合行动的企业内部对</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w:t>
      </w:r>
      <w:r>
        <w:rPr>
          <w:rFonts w:hint="eastAsia" w:ascii="仿宋" w:hAnsi="仿宋" w:eastAsia="仿宋" w:cs="仿宋"/>
          <w:color w:val="000000"/>
          <w:spacing w:val="-20"/>
          <w:w w:val="100"/>
          <w:position w:val="0"/>
          <w:sz w:val="32"/>
          <w:szCs w:val="32"/>
        </w:rPr>
        <w:t>主体进行联合惩戒。</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二、联合惩戒措施及实施单位</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2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（一）有关部门实施联合惩戒</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对因严重</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信”行为被司法机关、行政机关依法作出处罚的</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信”主体，由国家发展改革委、人民银行牵头，在社会信用体系建设部际联席会议框架下，根据有关法律法规和</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国务院关于建立完善守信联合激励和失信联合惩戒制度加快推进社会诚信建设的指导意见》（国发〔</w:t>
      </w:r>
      <w:r>
        <w:rPr>
          <w:rFonts w:hint="eastAsia" w:ascii="仿宋" w:hAnsi="仿宋" w:eastAsia="仿宋" w:cs="仿宋"/>
          <w:b w:val="0"/>
          <w:bCs w:val="0"/>
          <w:color w:val="000000"/>
          <w:spacing w:val="0"/>
          <w:w w:val="100"/>
          <w:position w:val="0"/>
          <w:sz w:val="32"/>
          <w:szCs w:val="32"/>
        </w:rPr>
        <w:t>2016〕33</w:t>
      </w:r>
      <w:r>
        <w:rPr>
          <w:rFonts w:hint="eastAsia" w:ascii="仿宋" w:hAnsi="仿宋" w:eastAsia="仿宋" w:cs="仿宋"/>
          <w:color w:val="000000"/>
          <w:spacing w:val="0"/>
          <w:w w:val="100"/>
          <w:position w:val="0"/>
          <w:sz w:val="32"/>
          <w:szCs w:val="32"/>
        </w:rPr>
        <w:t>号</w:t>
      </w:r>
      <w:r>
        <w:rPr>
          <w:rFonts w:hint="eastAsia" w:ascii="仿宋" w:hAnsi="仿宋" w:eastAsia="仿宋" w:cs="仿宋"/>
          <w:b w:val="0"/>
          <w:bCs w:val="0"/>
          <w:color w:val="000000"/>
          <w:spacing w:val="0"/>
          <w:w w:val="100"/>
          <w:position w:val="0"/>
          <w:sz w:val="32"/>
          <w:szCs w:val="32"/>
        </w:rPr>
        <w:t>）</w:t>
      </w:r>
      <w:r>
        <w:rPr>
          <w:rFonts w:hint="eastAsia" w:ascii="仿宋" w:hAnsi="仿宋" w:eastAsia="仿宋" w:cs="仿宋"/>
          <w:b/>
          <w:bCs/>
          <w:color w:val="000000"/>
          <w:spacing w:val="0"/>
          <w:w w:val="100"/>
          <w:position w:val="0"/>
          <w:sz w:val="32"/>
          <w:szCs w:val="32"/>
        </w:rPr>
        <w:t xml:space="preserve"> </w:t>
      </w:r>
      <w:r>
        <w:rPr>
          <w:rFonts w:hint="eastAsia" w:ascii="仿宋" w:hAnsi="仿宋" w:eastAsia="仿宋" w:cs="仿宋"/>
          <w:color w:val="000000"/>
          <w:spacing w:val="0"/>
          <w:w w:val="100"/>
          <w:position w:val="0"/>
          <w:sz w:val="32"/>
          <w:szCs w:val="32"/>
        </w:rPr>
        <w:t>要求，按照有关部门签署的失信联合惩戒合作备忘录釆取联合惩戒措施。</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left"/>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（二）鼓励和指导企业参与联合惩戒</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对参加联合行动的企业提供的</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信”主体，根据</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信”行为严重程度和社会影响，其他企业要依据在符合国家法律法规前提下与用户签订的协议以及各企业制定的规范，联合釆取以下惩戒措施：</w:t>
      </w:r>
    </w:p>
    <w:p>
      <w:pPr>
        <w:pStyle w:val="11"/>
        <w:keepNext w:val="0"/>
        <w:keepLines w:val="0"/>
        <w:pageBreakBefore w:val="0"/>
        <w:widowControl w:val="0"/>
        <w:numPr>
          <w:ilvl w:val="0"/>
          <w:numId w:val="1"/>
        </w:numPr>
        <w:shd w:val="clear" w:color="auto" w:fill="auto"/>
        <w:tabs>
          <w:tab w:val="left" w:pos="1018"/>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bookmarkStart w:id="6" w:name="bookmark9"/>
      <w:bookmarkEnd w:id="6"/>
      <w:r>
        <w:rPr>
          <w:rFonts w:hint="eastAsia" w:ascii="仿宋" w:hAnsi="仿宋" w:eastAsia="仿宋" w:cs="仿宋"/>
          <w:color w:val="000000"/>
          <w:spacing w:val="0"/>
          <w:w w:val="100"/>
          <w:position w:val="0"/>
          <w:sz w:val="32"/>
          <w:szCs w:val="32"/>
        </w:rPr>
        <w:t>限制新设立账户</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限制</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信”主体新开设平台账户。</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（实施单位：参加联合行动的各企业）</w:t>
      </w:r>
    </w:p>
    <w:p>
      <w:pPr>
        <w:pStyle w:val="11"/>
        <w:keepNext w:val="0"/>
        <w:keepLines w:val="0"/>
        <w:pageBreakBefore w:val="0"/>
        <w:widowControl w:val="0"/>
        <w:numPr>
          <w:ilvl w:val="0"/>
          <w:numId w:val="1"/>
        </w:numPr>
        <w:shd w:val="clear" w:color="auto" w:fill="auto"/>
        <w:tabs>
          <w:tab w:val="left" w:pos="1051"/>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bookmarkStart w:id="7" w:name="bookmark10"/>
      <w:bookmarkEnd w:id="7"/>
      <w:r>
        <w:rPr>
          <w:rFonts w:hint="eastAsia" w:ascii="仿宋" w:hAnsi="仿宋" w:eastAsia="仿宋" w:cs="仿宋"/>
          <w:color w:val="000000"/>
          <w:spacing w:val="0"/>
          <w:w w:val="100"/>
          <w:position w:val="0"/>
          <w:sz w:val="32"/>
          <w:szCs w:val="32"/>
        </w:rPr>
        <w:t>屏蔽或删除现有账户</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根据</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信”主体炒信行为严重程度，对其现有账户进行屏蔽、禁售或删除。</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关闭或删除使用软件或程序方式大批量注册的账户，关闭或取消因滥用权利而产生的订单。</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（实施单位：参加联合行动的各企业）</w:t>
      </w:r>
    </w:p>
    <w:p>
      <w:pPr>
        <w:pStyle w:val="11"/>
        <w:keepNext w:val="0"/>
        <w:keepLines w:val="0"/>
        <w:pageBreakBefore w:val="0"/>
        <w:widowControl w:val="0"/>
        <w:numPr>
          <w:ilvl w:val="0"/>
          <w:numId w:val="1"/>
        </w:numPr>
        <w:shd w:val="clear" w:color="auto" w:fill="auto"/>
        <w:tabs>
          <w:tab w:val="left" w:pos="1051"/>
        </w:tabs>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bookmarkStart w:id="8" w:name="bookmark11"/>
      <w:bookmarkEnd w:id="8"/>
      <w:r>
        <w:rPr>
          <w:rFonts w:hint="eastAsia" w:ascii="仿宋" w:hAnsi="仿宋" w:eastAsia="仿宋" w:cs="仿宋"/>
          <w:color w:val="000000"/>
          <w:spacing w:val="0"/>
          <w:w w:val="100"/>
          <w:position w:val="0"/>
          <w:sz w:val="32"/>
          <w:szCs w:val="32"/>
        </w:rPr>
        <w:t>限制发布商品及服务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对已开设平台账户且未被关店或全网禁用的严重失信主体，禁止或限制发布新品及服务，涉嫌商品、服务从平台及其店铺强制性删除。</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（实施单位：参加联合行动的各企业）</w:t>
      </w:r>
    </w:p>
    <w:p>
      <w:pPr>
        <w:pStyle w:val="11"/>
        <w:keepNext w:val="0"/>
        <w:keepLines w:val="0"/>
        <w:pageBreakBefore w:val="0"/>
        <w:widowControl w:val="0"/>
        <w:numPr>
          <w:ilvl w:val="0"/>
          <w:numId w:val="1"/>
        </w:numPr>
        <w:shd w:val="clear" w:color="auto" w:fill="auto"/>
        <w:tabs>
          <w:tab w:val="left" w:pos="1021"/>
        </w:tabs>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sectPr>
          <w:footerReference r:id="rId5" w:type="default"/>
          <w:footerReference r:id="rId6" w:type="even"/>
          <w:footnotePr>
            <w:numFmt w:val="decimal"/>
          </w:footnotePr>
          <w:pgSz w:w="11900" w:h="16840"/>
          <w:pgMar w:top="1871" w:right="1417" w:bottom="1871" w:left="1417" w:header="0" w:footer="3" w:gutter="0"/>
          <w:cols w:space="720" w:num="1"/>
          <w:rtlGutter w:val="0"/>
          <w:docGrid w:linePitch="360" w:charSpace="0"/>
        </w:sectPr>
      </w:pPr>
      <w:bookmarkStart w:id="9" w:name="bookmark12"/>
      <w:bookmarkEnd w:id="9"/>
      <w:r>
        <w:rPr>
          <w:rFonts w:hint="eastAsia" w:ascii="仿宋" w:hAnsi="仿宋" w:eastAsia="仿宋" w:cs="仿宋"/>
          <w:color w:val="000000"/>
          <w:spacing w:val="0"/>
          <w:w w:val="100"/>
          <w:position w:val="0"/>
          <w:sz w:val="32"/>
          <w:szCs w:val="32"/>
        </w:rPr>
        <w:t>限制参加各类营销或促销活动</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4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限制参加大型促销活动。限制策划和开展网店庆典及促 销活动。</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8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（实施单位：参加联合行动的各企业）</w:t>
      </w:r>
    </w:p>
    <w:p>
      <w:pPr>
        <w:pStyle w:val="11"/>
        <w:keepNext w:val="0"/>
        <w:keepLines w:val="0"/>
        <w:pageBreakBefore w:val="0"/>
        <w:widowControl w:val="0"/>
        <w:numPr>
          <w:ilvl w:val="0"/>
          <w:numId w:val="1"/>
        </w:numPr>
        <w:shd w:val="clear" w:color="auto" w:fill="auto"/>
        <w:tabs>
          <w:tab w:val="left" w:pos="1062"/>
        </w:tabs>
        <w:kinsoku/>
        <w:wordWrap/>
        <w:overflowPunct/>
        <w:topLinePunct w:val="0"/>
        <w:autoSpaceDE/>
        <w:autoSpaceDN/>
        <w:bidi w:val="0"/>
        <w:adjustRightInd/>
        <w:snapToGrid/>
        <w:spacing w:before="0" w:after="0" w:line="600" w:lineRule="exact"/>
        <w:ind w:left="0" w:right="0" w:firstLine="660"/>
        <w:jc w:val="left"/>
        <w:textAlignment w:val="auto"/>
        <w:rPr>
          <w:rFonts w:hint="eastAsia" w:ascii="仿宋" w:hAnsi="仿宋" w:eastAsia="仿宋" w:cs="仿宋"/>
          <w:sz w:val="32"/>
          <w:szCs w:val="32"/>
        </w:rPr>
      </w:pPr>
      <w:bookmarkStart w:id="10" w:name="bookmark13"/>
      <w:bookmarkEnd w:id="10"/>
      <w:r>
        <w:rPr>
          <w:rFonts w:hint="eastAsia" w:ascii="仿宋" w:hAnsi="仿宋" w:eastAsia="仿宋" w:cs="仿宋"/>
          <w:color w:val="000000"/>
          <w:spacing w:val="0"/>
          <w:w w:val="100"/>
          <w:position w:val="0"/>
          <w:sz w:val="32"/>
          <w:szCs w:val="32"/>
        </w:rPr>
        <w:t>扣除信用积分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对非法刷单积累的信用积分进行</w:t>
      </w:r>
      <w:r>
        <w:rPr>
          <w:rFonts w:hint="eastAsia" w:ascii="仿宋" w:hAnsi="仿宋" w:eastAsia="仿宋" w:cs="仿宋"/>
          <w:color w:val="000000"/>
          <w:spacing w:val="0"/>
          <w:w w:val="100"/>
          <w:position w:val="0"/>
          <w:sz w:val="32"/>
          <w:szCs w:val="32"/>
          <w:lang w:val="zh-CN" w:eastAsia="zh-CN" w:bidi="zh-CN"/>
        </w:rPr>
        <w:t>扣除。</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8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（实施单位：参加联合行动的各企业）</w:t>
      </w:r>
    </w:p>
    <w:p>
      <w:pPr>
        <w:pStyle w:val="11"/>
        <w:keepNext w:val="0"/>
        <w:keepLines w:val="0"/>
        <w:pageBreakBefore w:val="0"/>
        <w:widowControl w:val="0"/>
        <w:numPr>
          <w:ilvl w:val="0"/>
          <w:numId w:val="1"/>
        </w:numPr>
        <w:shd w:val="clear" w:color="auto" w:fill="auto"/>
        <w:tabs>
          <w:tab w:val="left" w:pos="1062"/>
        </w:tabs>
        <w:kinsoku/>
        <w:wordWrap/>
        <w:overflowPunct/>
        <w:topLinePunct w:val="0"/>
        <w:autoSpaceDE/>
        <w:autoSpaceDN/>
        <w:bidi w:val="0"/>
        <w:adjustRightInd/>
        <w:snapToGrid/>
        <w:spacing w:before="0" w:after="0" w:line="600" w:lineRule="exact"/>
        <w:ind w:left="0" w:right="0" w:firstLine="660"/>
        <w:jc w:val="left"/>
        <w:textAlignment w:val="auto"/>
        <w:rPr>
          <w:rFonts w:hint="eastAsia" w:ascii="仿宋" w:hAnsi="仿宋" w:eastAsia="仿宋" w:cs="仿宋"/>
          <w:sz w:val="32"/>
          <w:szCs w:val="32"/>
        </w:rPr>
      </w:pPr>
      <w:bookmarkStart w:id="11" w:name="bookmark14"/>
      <w:bookmarkEnd w:id="11"/>
      <w:r>
        <w:rPr>
          <w:rFonts w:hint="eastAsia" w:ascii="仿宋" w:hAnsi="仿宋" w:eastAsia="仿宋" w:cs="仿宋"/>
          <w:color w:val="000000"/>
          <w:spacing w:val="0"/>
          <w:w w:val="100"/>
          <w:position w:val="0"/>
          <w:sz w:val="32"/>
          <w:szCs w:val="32"/>
        </w:rPr>
        <w:t>降低信用等级</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4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降低账户等级或信用等级，并予以标识，记入其网站平台诚信档案。</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8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（实施单位：参加联合行动的各企业）</w:t>
      </w:r>
    </w:p>
    <w:p>
      <w:pPr>
        <w:pStyle w:val="11"/>
        <w:keepNext w:val="0"/>
        <w:keepLines w:val="0"/>
        <w:pageBreakBefore w:val="0"/>
        <w:widowControl w:val="0"/>
        <w:numPr>
          <w:ilvl w:val="0"/>
          <w:numId w:val="1"/>
        </w:numPr>
        <w:shd w:val="clear" w:color="auto" w:fill="auto"/>
        <w:tabs>
          <w:tab w:val="left" w:pos="1062"/>
        </w:tabs>
        <w:kinsoku/>
        <w:wordWrap/>
        <w:overflowPunct/>
        <w:topLinePunct w:val="0"/>
        <w:autoSpaceDE/>
        <w:autoSpaceDN/>
        <w:bidi w:val="0"/>
        <w:adjustRightInd/>
        <w:snapToGrid/>
        <w:spacing w:before="0" w:after="0" w:line="600" w:lineRule="exact"/>
        <w:ind w:left="0" w:right="0" w:firstLine="660"/>
        <w:jc w:val="left"/>
        <w:textAlignment w:val="auto"/>
        <w:rPr>
          <w:rFonts w:hint="eastAsia" w:ascii="仿宋" w:hAnsi="仿宋" w:eastAsia="仿宋" w:cs="仿宋"/>
          <w:sz w:val="32"/>
          <w:szCs w:val="32"/>
        </w:rPr>
      </w:pPr>
      <w:bookmarkStart w:id="12" w:name="bookmark15"/>
      <w:bookmarkEnd w:id="12"/>
      <w:r>
        <w:rPr>
          <w:rFonts w:hint="eastAsia" w:ascii="仿宋" w:hAnsi="仿宋" w:eastAsia="仿宋" w:cs="仿宋"/>
          <w:color w:val="000000"/>
          <w:spacing w:val="0"/>
          <w:w w:val="100"/>
          <w:position w:val="0"/>
          <w:sz w:val="32"/>
          <w:szCs w:val="32"/>
        </w:rPr>
        <w:t>限制提供互联网金融服务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40"/>
        <w:jc w:val="left"/>
        <w:textAlignment w:val="auto"/>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通过降低或取消授信额度、提高定价（利率）等方式限制提供互联网金融服务</w:t>
      </w:r>
      <w:r>
        <w:rPr>
          <w:rFonts w:hint="eastAsia" w:ascii="仿宋" w:hAnsi="仿宋" w:eastAsia="仿宋" w:cs="仿宋"/>
          <w:color w:val="000000"/>
          <w:spacing w:val="0"/>
          <w:w w:val="100"/>
          <w:position w:val="0"/>
          <w:sz w:val="32"/>
          <w:szCs w:val="32"/>
          <w:lang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（实施单位：参加联合行动的各企业）</w:t>
      </w:r>
    </w:p>
    <w:p>
      <w:pPr>
        <w:pStyle w:val="11"/>
        <w:keepNext w:val="0"/>
        <w:keepLines w:val="0"/>
        <w:pageBreakBefore w:val="0"/>
        <w:widowControl w:val="0"/>
        <w:numPr>
          <w:ilvl w:val="0"/>
          <w:numId w:val="1"/>
        </w:numPr>
        <w:shd w:val="clear" w:color="auto" w:fill="auto"/>
        <w:tabs>
          <w:tab w:val="left" w:pos="1062"/>
        </w:tabs>
        <w:kinsoku/>
        <w:wordWrap/>
        <w:overflowPunct/>
        <w:topLinePunct w:val="0"/>
        <w:autoSpaceDE/>
        <w:autoSpaceDN/>
        <w:bidi w:val="0"/>
        <w:adjustRightInd/>
        <w:snapToGrid/>
        <w:spacing w:before="0" w:after="0" w:line="600" w:lineRule="exact"/>
        <w:ind w:left="0" w:right="0" w:firstLine="660"/>
        <w:jc w:val="left"/>
        <w:textAlignment w:val="auto"/>
        <w:rPr>
          <w:rFonts w:hint="eastAsia" w:ascii="仿宋" w:hAnsi="仿宋" w:eastAsia="仿宋" w:cs="仿宋"/>
          <w:sz w:val="32"/>
          <w:szCs w:val="32"/>
        </w:rPr>
      </w:pPr>
      <w:bookmarkStart w:id="13" w:name="bookmark16"/>
      <w:bookmarkEnd w:id="13"/>
      <w:r>
        <w:rPr>
          <w:rFonts w:hint="eastAsia" w:ascii="仿宋" w:hAnsi="仿宋" w:eastAsia="仿宋" w:cs="仿宋"/>
          <w:color w:val="000000"/>
          <w:spacing w:val="0"/>
          <w:w w:val="100"/>
          <w:position w:val="0"/>
          <w:sz w:val="32"/>
          <w:szCs w:val="32"/>
        </w:rPr>
        <w:t>限制账户权限权利</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限制账户享受平台优惠政策及服务，降低搜索排名。</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（实施单位：参加联合行动的各企业）</w:t>
      </w:r>
    </w:p>
    <w:p>
      <w:pPr>
        <w:pStyle w:val="11"/>
        <w:keepNext w:val="0"/>
        <w:keepLines w:val="0"/>
        <w:pageBreakBefore w:val="0"/>
        <w:widowControl w:val="0"/>
        <w:numPr>
          <w:ilvl w:val="0"/>
          <w:numId w:val="1"/>
        </w:numPr>
        <w:shd w:val="clear" w:color="auto" w:fill="auto"/>
        <w:tabs>
          <w:tab w:val="left" w:pos="1022"/>
        </w:tabs>
        <w:kinsoku/>
        <w:wordWrap/>
        <w:overflowPunct/>
        <w:topLinePunct w:val="0"/>
        <w:autoSpaceDE/>
        <w:autoSpaceDN/>
        <w:bidi w:val="0"/>
        <w:adjustRightInd/>
        <w:snapToGrid/>
        <w:spacing w:before="0" w:after="0" w:line="600" w:lineRule="exact"/>
        <w:ind w:left="0" w:right="0" w:firstLine="620"/>
        <w:jc w:val="left"/>
        <w:textAlignment w:val="auto"/>
        <w:rPr>
          <w:rFonts w:hint="eastAsia" w:ascii="仿宋" w:hAnsi="仿宋" w:eastAsia="仿宋" w:cs="仿宋"/>
          <w:sz w:val="32"/>
          <w:szCs w:val="32"/>
        </w:rPr>
      </w:pPr>
      <w:bookmarkStart w:id="14" w:name="bookmark17"/>
      <w:bookmarkEnd w:id="14"/>
      <w:r>
        <w:rPr>
          <w:rFonts w:hint="eastAsia" w:ascii="仿宋" w:hAnsi="仿宋" w:eastAsia="仿宋" w:cs="仿宋"/>
          <w:color w:val="000000"/>
          <w:spacing w:val="0"/>
          <w:w w:val="100"/>
          <w:position w:val="0"/>
          <w:sz w:val="32"/>
          <w:szCs w:val="32"/>
        </w:rPr>
        <w:t>在搜索结果中标注风险</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结合本单位相关产品和服务，在相关搜索结果对“炒信” 主体进行标注，提醒消费者防范风险。</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（实施单位：参加联合行动的各企业）</w:t>
      </w:r>
    </w:p>
    <w:p>
      <w:pPr>
        <w:pStyle w:val="11"/>
        <w:keepNext w:val="0"/>
        <w:keepLines w:val="0"/>
        <w:pageBreakBefore w:val="0"/>
        <w:widowControl w:val="0"/>
        <w:numPr>
          <w:ilvl w:val="0"/>
          <w:numId w:val="1"/>
        </w:numPr>
        <w:shd w:val="clear" w:color="auto" w:fill="auto"/>
        <w:tabs>
          <w:tab w:val="left" w:pos="1131"/>
        </w:tabs>
        <w:kinsoku/>
        <w:wordWrap/>
        <w:overflowPunct/>
        <w:topLinePunct w:val="0"/>
        <w:autoSpaceDE/>
        <w:autoSpaceDN/>
        <w:bidi w:val="0"/>
        <w:adjustRightInd/>
        <w:snapToGrid/>
        <w:spacing w:before="0" w:after="0" w:line="600" w:lineRule="exact"/>
        <w:ind w:left="0" w:right="0" w:firstLine="600"/>
        <w:jc w:val="left"/>
        <w:textAlignment w:val="auto"/>
        <w:rPr>
          <w:rFonts w:hint="eastAsia" w:ascii="仿宋" w:hAnsi="仿宋" w:eastAsia="仿宋" w:cs="仿宋"/>
          <w:sz w:val="32"/>
          <w:szCs w:val="32"/>
        </w:rPr>
      </w:pPr>
      <w:bookmarkStart w:id="15" w:name="bookmark18"/>
      <w:bookmarkEnd w:id="15"/>
      <w:r>
        <w:rPr>
          <w:rFonts w:hint="eastAsia" w:ascii="仿宋" w:hAnsi="仿宋" w:eastAsia="仿宋" w:cs="仿宋"/>
          <w:color w:val="000000"/>
          <w:spacing w:val="0"/>
          <w:w w:val="100"/>
          <w:position w:val="0"/>
          <w:sz w:val="32"/>
          <w:szCs w:val="32"/>
        </w:rPr>
        <w:t>限制严重失信寄递物流企业入驻电子商务平台</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电子商务平台通过技术手段禁止卖家通过严重失信寄</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递物流企业寄递所出售商品。</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92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（实施单位：参加联合行动的各企业）</w:t>
      </w:r>
    </w:p>
    <w:p>
      <w:pPr>
        <w:pStyle w:val="11"/>
        <w:keepNext w:val="0"/>
        <w:keepLines w:val="0"/>
        <w:pageBreakBefore w:val="0"/>
        <w:widowControl w:val="0"/>
        <w:numPr>
          <w:ilvl w:val="0"/>
          <w:numId w:val="2"/>
        </w:numPr>
        <w:shd w:val="clear" w:color="auto" w:fill="auto"/>
        <w:tabs>
          <w:tab w:val="left" w:pos="1203"/>
        </w:tabs>
        <w:kinsoku/>
        <w:wordWrap/>
        <w:overflowPunct/>
        <w:topLinePunct w:val="0"/>
        <w:autoSpaceDE/>
        <w:autoSpaceDN/>
        <w:bidi w:val="0"/>
        <w:adjustRightInd/>
        <w:snapToGrid/>
        <w:spacing w:before="0" w:after="0" w:line="600" w:lineRule="exact"/>
        <w:ind w:left="0" w:right="0" w:firstLine="780"/>
        <w:jc w:val="both"/>
        <w:textAlignment w:val="auto"/>
        <w:rPr>
          <w:rFonts w:hint="eastAsia" w:ascii="仿宋" w:hAnsi="仿宋" w:eastAsia="仿宋" w:cs="仿宋"/>
          <w:sz w:val="32"/>
          <w:szCs w:val="32"/>
        </w:rPr>
      </w:pPr>
      <w:bookmarkStart w:id="16" w:name="bookmark19"/>
      <w:bookmarkEnd w:id="16"/>
      <w:r>
        <w:rPr>
          <w:rFonts w:hint="eastAsia" w:ascii="仿宋" w:hAnsi="仿宋" w:eastAsia="仿宋" w:cs="仿宋"/>
          <w:color w:val="000000"/>
          <w:spacing w:val="0"/>
          <w:w w:val="100"/>
          <w:position w:val="0"/>
          <w:sz w:val="32"/>
          <w:szCs w:val="32"/>
        </w:rPr>
        <w:t>辞退并通报建议同业机构不予录用严重失信寄递物 流从业人员</w:t>
      </w:r>
      <w:r>
        <w:rPr>
          <w:rFonts w:hint="eastAsia" w:ascii="仿宋" w:hAnsi="仿宋" w:eastAsia="仿宋" w:cs="仿宋"/>
          <w:color w:val="000000"/>
          <w:spacing w:val="0"/>
          <w:w w:val="100"/>
          <w:position w:val="0"/>
          <w:sz w:val="32"/>
          <w:szCs w:val="32"/>
          <w:lang w:eastAsia="zh-CN"/>
        </w:rPr>
        <w:t>。</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对合谋利用空包裹刷单炒信的寄递物流从业人员，相关 寄递物流企业应及时辞退，并向同业其他企业进行通报。</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92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（实施单位：参加联合行动的快递物流企业）</w:t>
      </w:r>
    </w:p>
    <w:p>
      <w:pPr>
        <w:pStyle w:val="11"/>
        <w:keepNext w:val="0"/>
        <w:keepLines w:val="0"/>
        <w:pageBreakBefore w:val="0"/>
        <w:widowControl w:val="0"/>
        <w:numPr>
          <w:ilvl w:val="0"/>
          <w:numId w:val="2"/>
        </w:numPr>
        <w:shd w:val="clear" w:color="auto" w:fill="auto"/>
        <w:tabs>
          <w:tab w:val="left" w:pos="1261"/>
        </w:tabs>
        <w:kinsoku/>
        <w:wordWrap/>
        <w:overflowPunct/>
        <w:topLinePunct w:val="0"/>
        <w:autoSpaceDE/>
        <w:autoSpaceDN/>
        <w:bidi w:val="0"/>
        <w:adjustRightInd/>
        <w:snapToGrid/>
        <w:spacing w:before="0" w:after="0" w:line="600" w:lineRule="exact"/>
        <w:ind w:left="0" w:right="0" w:firstLine="720"/>
        <w:jc w:val="left"/>
        <w:textAlignment w:val="auto"/>
        <w:rPr>
          <w:rFonts w:hint="eastAsia" w:ascii="仿宋" w:hAnsi="仿宋" w:eastAsia="仿宋" w:cs="仿宋"/>
          <w:sz w:val="32"/>
          <w:szCs w:val="32"/>
        </w:rPr>
      </w:pPr>
      <w:bookmarkStart w:id="17" w:name="bookmark20"/>
      <w:bookmarkEnd w:id="17"/>
      <w:r>
        <w:rPr>
          <w:rFonts w:hint="eastAsia" w:ascii="仿宋" w:hAnsi="仿宋" w:eastAsia="仿宋" w:cs="仿宋"/>
          <w:color w:val="000000"/>
          <w:spacing w:val="0"/>
          <w:w w:val="100"/>
          <w:position w:val="0"/>
          <w:sz w:val="32"/>
          <w:szCs w:val="32"/>
        </w:rPr>
        <w:t>查封或删除社交媒体账号</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查封或删除严重失信主体组织或参与的刷单炒信社交媒体账号。</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92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（实施单位：参加联合行动的各企业）</w:t>
      </w:r>
    </w:p>
    <w:p>
      <w:pPr>
        <w:pStyle w:val="11"/>
        <w:keepNext w:val="0"/>
        <w:keepLines w:val="0"/>
        <w:pageBreakBefore w:val="0"/>
        <w:widowControl w:val="0"/>
        <w:numPr>
          <w:ilvl w:val="0"/>
          <w:numId w:val="2"/>
        </w:numPr>
        <w:shd w:val="clear" w:color="auto" w:fill="auto"/>
        <w:tabs>
          <w:tab w:val="left" w:pos="1261"/>
        </w:tabs>
        <w:kinsoku/>
        <w:wordWrap/>
        <w:overflowPunct/>
        <w:topLinePunct w:val="0"/>
        <w:autoSpaceDE/>
        <w:autoSpaceDN/>
        <w:bidi w:val="0"/>
        <w:adjustRightInd/>
        <w:snapToGrid/>
        <w:spacing w:before="0" w:after="0" w:line="600" w:lineRule="exact"/>
        <w:ind w:left="0" w:right="0" w:firstLine="720"/>
        <w:jc w:val="both"/>
        <w:textAlignment w:val="auto"/>
        <w:rPr>
          <w:rFonts w:hint="eastAsia" w:ascii="仿宋" w:hAnsi="仿宋" w:eastAsia="仿宋" w:cs="仿宋"/>
          <w:sz w:val="32"/>
          <w:szCs w:val="32"/>
        </w:rPr>
      </w:pPr>
      <w:bookmarkStart w:id="18" w:name="bookmark21"/>
      <w:bookmarkEnd w:id="18"/>
      <w:r>
        <w:rPr>
          <w:rFonts w:hint="eastAsia" w:ascii="仿宋" w:hAnsi="仿宋" w:eastAsia="仿宋" w:cs="仿宋"/>
          <w:color w:val="000000"/>
          <w:spacing w:val="0"/>
          <w:w w:val="100"/>
          <w:position w:val="0"/>
          <w:sz w:val="32"/>
          <w:szCs w:val="32"/>
        </w:rPr>
        <w:t>限制网络广告推广</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限制严重失信主体通过互联网搜索等方式广告推广其商品和服务。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2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（实施单位：参加联合行动的各企业）</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left"/>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三、工作保障</w:t>
      </w:r>
    </w:p>
    <w:p>
      <w:pPr>
        <w:pStyle w:val="11"/>
        <w:keepNext w:val="0"/>
        <w:keepLines w:val="0"/>
        <w:pageBreakBefore w:val="0"/>
        <w:widowControl w:val="0"/>
        <w:shd w:val="clear" w:color="auto" w:fill="auto"/>
        <w:tabs>
          <w:tab w:val="left" w:pos="1606"/>
        </w:tabs>
        <w:kinsoku/>
        <w:wordWrap/>
        <w:overflowPunct/>
        <w:topLinePunct w:val="0"/>
        <w:autoSpaceDE/>
        <w:autoSpaceDN/>
        <w:bidi w:val="0"/>
        <w:adjustRightInd/>
        <w:snapToGrid/>
        <w:spacing w:before="0" w:after="0" w:line="600" w:lineRule="exact"/>
        <w:ind w:left="0" w:right="0" w:firstLine="780"/>
        <w:jc w:val="both"/>
        <w:textAlignment w:val="auto"/>
        <w:rPr>
          <w:rFonts w:hint="eastAsia" w:ascii="仿宋" w:hAnsi="仿宋" w:eastAsia="仿宋" w:cs="仿宋"/>
          <w:sz w:val="32"/>
          <w:szCs w:val="32"/>
        </w:rPr>
      </w:pPr>
      <w:bookmarkStart w:id="19" w:name="bookmark22"/>
      <w:r>
        <w:rPr>
          <w:rFonts w:hint="eastAsia" w:ascii="仿宋" w:hAnsi="仿宋" w:eastAsia="仿宋" w:cs="仿宋"/>
          <w:color w:val="000000"/>
          <w:spacing w:val="0"/>
          <w:w w:val="100"/>
          <w:position w:val="0"/>
          <w:sz w:val="32"/>
          <w:szCs w:val="32"/>
        </w:rPr>
        <w:t>（</w:t>
      </w:r>
      <w:bookmarkEnd w:id="19"/>
      <w:r>
        <w:rPr>
          <w:rFonts w:hint="eastAsia" w:ascii="仿宋" w:hAnsi="仿宋" w:eastAsia="仿宋" w:cs="仿宋"/>
          <w:color w:val="000000"/>
          <w:spacing w:val="0"/>
          <w:w w:val="100"/>
          <w:position w:val="0"/>
          <w:sz w:val="32"/>
          <w:szCs w:val="32"/>
        </w:rPr>
        <w:t>一）加大全国信用信息共享平台向参加联合行动的企 业开放共享信息的力度，为企业联合打击</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信”行为提供信息服务。</w:t>
      </w:r>
    </w:p>
    <w:p>
      <w:pPr>
        <w:pStyle w:val="11"/>
        <w:keepNext w:val="0"/>
        <w:keepLines w:val="0"/>
        <w:pageBreakBefore w:val="0"/>
        <w:widowControl w:val="0"/>
        <w:shd w:val="clear" w:color="auto" w:fill="auto"/>
        <w:tabs>
          <w:tab w:val="left" w:pos="1597"/>
        </w:tabs>
        <w:kinsoku/>
        <w:wordWrap/>
        <w:overflowPunct/>
        <w:topLinePunct w:val="0"/>
        <w:autoSpaceDE/>
        <w:autoSpaceDN/>
        <w:bidi w:val="0"/>
        <w:adjustRightInd/>
        <w:snapToGrid/>
        <w:spacing w:before="0" w:after="0" w:line="600" w:lineRule="exact"/>
        <w:ind w:left="0" w:right="0" w:firstLine="780"/>
        <w:jc w:val="both"/>
        <w:textAlignment w:val="auto"/>
        <w:rPr>
          <w:rFonts w:hint="eastAsia" w:ascii="仿宋" w:hAnsi="仿宋" w:eastAsia="仿宋" w:cs="仿宋"/>
          <w:sz w:val="32"/>
          <w:szCs w:val="32"/>
        </w:rPr>
      </w:pPr>
      <w:bookmarkStart w:id="20" w:name="bookmark23"/>
      <w:r>
        <w:rPr>
          <w:rFonts w:hint="eastAsia" w:ascii="仿宋" w:hAnsi="仿宋" w:eastAsia="仿宋" w:cs="仿宋"/>
          <w:color w:val="000000"/>
          <w:spacing w:val="0"/>
          <w:w w:val="100"/>
          <w:position w:val="0"/>
          <w:sz w:val="32"/>
          <w:szCs w:val="32"/>
        </w:rPr>
        <w:t>（</w:t>
      </w:r>
      <w:bookmarkEnd w:id="20"/>
      <w:r>
        <w:rPr>
          <w:rFonts w:hint="eastAsia" w:ascii="仿宋" w:hAnsi="仿宋" w:eastAsia="仿宋" w:cs="仿宋"/>
          <w:color w:val="000000"/>
          <w:spacing w:val="0"/>
          <w:w w:val="100"/>
          <w:position w:val="0"/>
          <w:sz w:val="32"/>
          <w:szCs w:val="32"/>
        </w:rPr>
        <w:t>二）国家发展改革委会同有关部门加强对企业打击</w:t>
      </w:r>
      <w:r>
        <w:rPr>
          <w:rFonts w:hint="eastAsia" w:ascii="仿宋" w:hAnsi="仿宋" w:eastAsia="仿宋" w:cs="仿宋"/>
          <w:color w:val="000000"/>
          <w:spacing w:val="0"/>
          <w:w w:val="100"/>
          <w:position w:val="0"/>
          <w:sz w:val="32"/>
          <w:szCs w:val="32"/>
          <w:lang w:val="zh-CN" w:eastAsia="zh-CN" w:bidi="zh-CN"/>
        </w:rPr>
        <w:t xml:space="preserve">“炒 </w:t>
      </w:r>
      <w:r>
        <w:rPr>
          <w:rFonts w:hint="eastAsia" w:ascii="仿宋" w:hAnsi="仿宋" w:eastAsia="仿宋" w:cs="仿宋"/>
          <w:color w:val="000000"/>
          <w:spacing w:val="0"/>
          <w:w w:val="100"/>
          <w:position w:val="0"/>
          <w:sz w:val="32"/>
          <w:szCs w:val="32"/>
        </w:rPr>
        <w:t>信"行为的协调，鼓励指导企业参加联合行动，与参加联合行动的企业建立定期会商机制，及时研究协调解决有关问题。</w:t>
      </w:r>
    </w:p>
    <w:p>
      <w:pPr>
        <w:pStyle w:val="11"/>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600" w:lineRule="exact"/>
        <w:ind w:left="0" w:right="0" w:firstLine="740"/>
        <w:jc w:val="left"/>
        <w:textAlignment w:val="auto"/>
        <w:rPr>
          <w:rFonts w:hint="eastAsia" w:ascii="仿宋" w:hAnsi="仿宋" w:eastAsia="仿宋" w:cs="仿宋"/>
          <w:sz w:val="32"/>
          <w:szCs w:val="32"/>
        </w:rPr>
      </w:pPr>
      <w:bookmarkStart w:id="21" w:name="bookmark24"/>
      <w:r>
        <w:rPr>
          <w:rFonts w:hint="eastAsia" w:ascii="仿宋" w:hAnsi="仿宋" w:eastAsia="仿宋" w:cs="仿宋"/>
          <w:color w:val="000000"/>
          <w:spacing w:val="0"/>
          <w:w w:val="100"/>
          <w:position w:val="0"/>
          <w:sz w:val="32"/>
          <w:szCs w:val="32"/>
        </w:rPr>
        <w:t>（</w:t>
      </w:r>
      <w:bookmarkEnd w:id="21"/>
      <w:r>
        <w:rPr>
          <w:rFonts w:hint="eastAsia" w:ascii="仿宋" w:hAnsi="仿宋" w:eastAsia="仿宋" w:cs="仿宋"/>
          <w:color w:val="000000"/>
          <w:spacing w:val="0"/>
          <w:w w:val="100"/>
          <w:position w:val="0"/>
          <w:sz w:val="32"/>
          <w:szCs w:val="32"/>
        </w:rPr>
        <w:t>三）加强信息安全保障，采取必要的技术隔离措施， 保护敏感核心信息的数据安全，杜绝超权限操作，保护电子商务及分享经济领域消费者隐私权益和参加联合行动的企业商业秘密。</w:t>
      </w:r>
    </w:p>
    <w:p>
      <w:pPr>
        <w:pStyle w:val="11"/>
        <w:keepNext w:val="0"/>
        <w:keepLines w:val="0"/>
        <w:pageBreakBefore w:val="0"/>
        <w:widowControl w:val="0"/>
        <w:shd w:val="clear" w:color="auto" w:fill="auto"/>
        <w:tabs>
          <w:tab w:val="left" w:pos="1537"/>
        </w:tabs>
        <w:kinsoku/>
        <w:wordWrap/>
        <w:overflowPunct/>
        <w:topLinePunct w:val="0"/>
        <w:autoSpaceDE/>
        <w:autoSpaceDN/>
        <w:bidi w:val="0"/>
        <w:adjustRightInd/>
        <w:snapToGrid/>
        <w:spacing w:before="0" w:after="0" w:line="600" w:lineRule="exact"/>
        <w:ind w:left="0" w:right="0" w:firstLine="740"/>
        <w:jc w:val="both"/>
        <w:textAlignment w:val="auto"/>
        <w:rPr>
          <w:rFonts w:hint="eastAsia" w:ascii="仿宋" w:hAnsi="仿宋" w:eastAsia="仿宋" w:cs="仿宋"/>
          <w:sz w:val="32"/>
          <w:szCs w:val="32"/>
        </w:rPr>
      </w:pPr>
      <w:bookmarkStart w:id="22" w:name="bookmark25"/>
      <w:r>
        <w:rPr>
          <w:rFonts w:hint="eastAsia" w:ascii="仿宋" w:hAnsi="仿宋" w:eastAsia="仿宋" w:cs="仿宋"/>
          <w:color w:val="000000"/>
          <w:spacing w:val="0"/>
          <w:w w:val="100"/>
          <w:position w:val="0"/>
          <w:sz w:val="32"/>
          <w:szCs w:val="32"/>
        </w:rPr>
        <w:t>（</w:t>
      </w:r>
      <w:bookmarkEnd w:id="22"/>
      <w:r>
        <w:rPr>
          <w:rFonts w:hint="eastAsia" w:ascii="仿宋" w:hAnsi="仿宋" w:eastAsia="仿宋" w:cs="仿宋"/>
          <w:color w:val="000000"/>
          <w:spacing w:val="0"/>
          <w:w w:val="100"/>
          <w:position w:val="0"/>
          <w:sz w:val="32"/>
          <w:szCs w:val="32"/>
        </w:rPr>
        <w:t>四）建立打击</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信”相关投诉举报和异议申诉机制。 发动广大市场主体对</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信”行为进行举报，参加联合行动的企业要及时处理并向有关部门报吿。同时，对因信息不实而错误采取惩戒措施的主体，要采取积极措施及时恢复信誉。</w:t>
      </w:r>
    </w:p>
    <w:p>
      <w:pPr>
        <w:pStyle w:val="11"/>
        <w:keepNext w:val="0"/>
        <w:keepLines w:val="0"/>
        <w:pageBreakBefore w:val="0"/>
        <w:widowControl w:val="0"/>
        <w:shd w:val="clear" w:color="auto" w:fill="auto"/>
        <w:tabs>
          <w:tab w:val="left" w:pos="1515"/>
        </w:tabs>
        <w:kinsoku/>
        <w:wordWrap/>
        <w:overflowPunct/>
        <w:topLinePunct w:val="0"/>
        <w:autoSpaceDE/>
        <w:autoSpaceDN/>
        <w:bidi w:val="0"/>
        <w:adjustRightInd/>
        <w:snapToGrid/>
        <w:spacing w:before="0" w:after="0" w:line="600" w:lineRule="exact"/>
        <w:ind w:left="0" w:right="0" w:firstLine="740"/>
        <w:jc w:val="both"/>
        <w:textAlignment w:val="auto"/>
        <w:rPr>
          <w:rFonts w:hint="eastAsia" w:ascii="仿宋" w:hAnsi="仿宋" w:eastAsia="仿宋" w:cs="仿宋"/>
          <w:sz w:val="32"/>
          <w:szCs w:val="32"/>
        </w:rPr>
      </w:pPr>
      <w:bookmarkStart w:id="23" w:name="bookmark26"/>
      <w:r>
        <w:rPr>
          <w:rFonts w:hint="eastAsia" w:ascii="仿宋" w:hAnsi="仿宋" w:eastAsia="仿宋" w:cs="仿宋"/>
          <w:color w:val="000000"/>
          <w:spacing w:val="0"/>
          <w:w w:val="100"/>
          <w:position w:val="0"/>
          <w:sz w:val="32"/>
          <w:szCs w:val="32"/>
        </w:rPr>
        <w:t>（</w:t>
      </w:r>
      <w:bookmarkEnd w:id="23"/>
      <w:r>
        <w:rPr>
          <w:rFonts w:hint="eastAsia" w:ascii="仿宋" w:hAnsi="仿宋" w:eastAsia="仿宋" w:cs="仿宋"/>
          <w:color w:val="000000"/>
          <w:spacing w:val="0"/>
          <w:w w:val="100"/>
          <w:position w:val="0"/>
          <w:sz w:val="32"/>
          <w:szCs w:val="32"/>
        </w:rPr>
        <w:t>五）加强惩戒成果统计和宣传报道。定期汇总统计联合惩戒</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信”行为成果数据，与有关媒体合作，加强对打击</w:t>
      </w:r>
      <w:r>
        <w:rPr>
          <w:rFonts w:hint="eastAsia" w:ascii="仿宋" w:hAnsi="仿宋" w:eastAsia="仿宋" w:cs="仿宋"/>
          <w:color w:val="000000"/>
          <w:spacing w:val="0"/>
          <w:w w:val="100"/>
          <w:position w:val="0"/>
          <w:sz w:val="32"/>
          <w:szCs w:val="32"/>
          <w:lang w:val="zh-CN" w:eastAsia="zh-CN" w:bidi="zh-CN"/>
        </w:rPr>
        <w:t>“炒</w:t>
      </w:r>
      <w:r>
        <w:rPr>
          <w:rFonts w:hint="eastAsia" w:ascii="仿宋" w:hAnsi="仿宋" w:eastAsia="仿宋" w:cs="仿宋"/>
          <w:color w:val="000000"/>
          <w:spacing w:val="0"/>
          <w:w w:val="100"/>
          <w:position w:val="0"/>
          <w:sz w:val="32"/>
          <w:szCs w:val="32"/>
        </w:rPr>
        <w:t>信”行动的宣传报道，营造良好的社会氛围。</w:t>
      </w:r>
    </w:p>
    <w:sectPr>
      <w:footerReference r:id="rId9" w:type="first"/>
      <w:footerReference r:id="rId7" w:type="default"/>
      <w:footerReference r:id="rId8" w:type="even"/>
      <w:footnotePr>
        <w:numFmt w:val="decimal"/>
      </w:footnotePr>
      <w:pgSz w:w="11900" w:h="16840"/>
      <w:pgMar w:top="1232" w:right="1624" w:bottom="1766" w:left="1699" w:header="0" w:footer="3" w:gutter="0"/>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3754755</wp:posOffset>
              </wp:positionH>
              <wp:positionV relativeFrom="page">
                <wp:posOffset>9698990</wp:posOffset>
              </wp:positionV>
              <wp:extent cx="36830" cy="105410"/>
              <wp:effectExtent l="0" t="0" r="0" b="0"/>
              <wp:wrapNone/>
              <wp:docPr id="8" name="Shape 8"/>
              <wp:cNvGraphicFramePr/>
              <a:graphic xmlns:a="http://schemas.openxmlformats.org/drawingml/2006/main">
                <a:graphicData uri="http://schemas.microsoft.com/office/word/2010/wordprocessingShape">
                  <wps:wsp>
                    <wps:cNvSpPr txBox="1"/>
                    <wps:spPr>
                      <a:xfrm>
                        <a:off x="0" y="0"/>
                        <a:ext cx="36830" cy="10541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8" o:spid="_x0000_s1026" o:spt="202" type="#_x0000_t202" style="position:absolute;left:0pt;margin-left:295.65pt;margin-top:763.7pt;height:8.3pt;width:2.9pt;mso-position-horizontal-relative:page;mso-position-vertical-relative:page;mso-wrap-style:none;z-index:-440400896;mso-width-relative:page;mso-height-relative:page;" filled="f" stroked="f" coordsize="21600,21600" o:gfxdata="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bsYo42QAAAA0BAAAPAAAAAAAAAAEAIAAAACIAAABkcnMvZG93&#10;bnJldi54bWxQSwECFAAUAAAACACHTuJAjsN9ZY0BAAAgAwAADgAAAAAAAAABACAAAAAoAQAAZHJz&#10;L2Uyb0RvYy54bWxQSwUGAAAAAAYABgBZAQAAJw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3679825</wp:posOffset>
              </wp:positionH>
              <wp:positionV relativeFrom="page">
                <wp:posOffset>9688195</wp:posOffset>
              </wp:positionV>
              <wp:extent cx="64135" cy="103505"/>
              <wp:effectExtent l="0" t="0" r="0" b="0"/>
              <wp:wrapNone/>
              <wp:docPr id="10" name="Shape 10"/>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10" o:spid="_x0000_s1026" o:spt="202" type="#_x0000_t202" style="position:absolute;left:0pt;margin-left:289.75pt;margin-top:762.85pt;height:8.15pt;width:5.05pt;mso-position-horizontal-relative:page;mso-position-vertical-relative:page;mso-wrap-style:none;z-index:-440400896;mso-width-relative:page;mso-height-relative:page;" filled="f" stroked="f" coordsize="21600,21600" o:gfxdata="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mgtPWdgAAAANAQAADwAAAAAAAAABACAAAAAiAAAAZHJzL2Rvd25y&#10;ZXYueG1sUEsBAhQAFAAAAAgAh07iQNTtac6MAQAAIgMAAA4AAAAAAAAAAQAgAAAAJwEAAGRycy9l&#10;Mm9Eb2MueG1sUEsFBgAAAAAGAAYAWQEAACU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3703320</wp:posOffset>
              </wp:positionH>
              <wp:positionV relativeFrom="page">
                <wp:posOffset>9635490</wp:posOffset>
              </wp:positionV>
              <wp:extent cx="64135" cy="109855"/>
              <wp:effectExtent l="0" t="0" r="0" b="0"/>
              <wp:wrapNone/>
              <wp:docPr id="12" name="Shape 12"/>
              <wp:cNvGraphicFramePr/>
              <a:graphic xmlns:a="http://schemas.openxmlformats.org/drawingml/2006/main">
                <a:graphicData uri="http://schemas.microsoft.com/office/word/2010/wordprocessingShape">
                  <wps:wsp>
                    <wps:cNvSpPr txBox="1"/>
                    <wps:spPr>
                      <a:xfrm>
                        <a:off x="0" y="0"/>
                        <a:ext cx="64135" cy="10985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12" o:spid="_x0000_s1026" o:spt="202" type="#_x0000_t202" style="position:absolute;left:0pt;margin-left:291.6pt;margin-top:758.7pt;height:8.65pt;width:5.05pt;mso-position-horizontal-relative:page;mso-position-vertical-relative:page;mso-wrap-style:none;z-index:-440400896;mso-width-relative:page;mso-height-relative:page;" filled="f" stroked="f" coordsize="21600,21600" o:gfxdata="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inyJ62QAAAA0BAAAPAAAAAAAAAAEAIAAAACIAAABkcnMvZG93&#10;bnJldi54bWxQSwECFAAUAAAACACHTuJAiHUwpo0BAAAiAwAADgAAAAAAAAABACAAAAAoAQAAZHJz&#10;L2Uyb0RvYy54bWxQSwUGAAAAAAYABgBZAQAAJwU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3703320</wp:posOffset>
              </wp:positionH>
              <wp:positionV relativeFrom="page">
                <wp:posOffset>9635490</wp:posOffset>
              </wp:positionV>
              <wp:extent cx="64135" cy="109855"/>
              <wp:effectExtent l="0" t="0" r="0" b="0"/>
              <wp:wrapNone/>
              <wp:docPr id="14" name="Shape 14"/>
              <wp:cNvGraphicFramePr/>
              <a:graphic xmlns:a="http://schemas.openxmlformats.org/drawingml/2006/main">
                <a:graphicData uri="http://schemas.microsoft.com/office/word/2010/wordprocessingShape">
                  <wps:wsp>
                    <wps:cNvSpPr txBox="1"/>
                    <wps:spPr>
                      <a:xfrm>
                        <a:off x="0" y="0"/>
                        <a:ext cx="64135" cy="10985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14" o:spid="_x0000_s1026" o:spt="202" type="#_x0000_t202" style="position:absolute;left:0pt;margin-left:291.6pt;margin-top:758.7pt;height:8.65pt;width:5.05pt;mso-position-horizontal-relative:page;mso-position-vertical-relative:page;mso-wrap-style:none;z-index:-440400896;mso-width-relative:page;mso-height-relative:page;" filled="f" stroked="f" coordsize="21600,21600" o:gfxdata="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4p8ietkAAAANAQAADwAAAAAAAAABACAAAAAiAAAAZHJzL2Rv&#10;d25yZXYueG1sUEsBAhQAFAAAAAgAh07iQAYTG5qOAQAAIgMAAA4AAAAAAAAAAQAgAAAAKAEAAGRy&#10;cy9lMm9Eb2MueG1sUEsFBgAAAAAGAAYAWQEAACg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3754755</wp:posOffset>
              </wp:positionH>
              <wp:positionV relativeFrom="page">
                <wp:posOffset>9698990</wp:posOffset>
              </wp:positionV>
              <wp:extent cx="36830" cy="105410"/>
              <wp:effectExtent l="0" t="0" r="0" b="0"/>
              <wp:wrapNone/>
              <wp:docPr id="16" name="Shape 16"/>
              <wp:cNvGraphicFramePr/>
              <a:graphic xmlns:a="http://schemas.openxmlformats.org/drawingml/2006/main">
                <a:graphicData uri="http://schemas.microsoft.com/office/word/2010/wordprocessingShape">
                  <wps:wsp>
                    <wps:cNvSpPr txBox="1"/>
                    <wps:spPr>
                      <a:xfrm>
                        <a:off x="0" y="0"/>
                        <a:ext cx="36830" cy="10541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wps:txbx>
                    <wps:bodyPr wrap="none" lIns="0" tIns="0" rIns="0" bIns="0">
                      <a:spAutoFit/>
                    </wps:bodyPr>
                  </wps:wsp>
                </a:graphicData>
              </a:graphic>
            </wp:anchor>
          </w:drawing>
        </mc:Choice>
        <mc:Fallback>
          <w:pict>
            <v:shape id="Shape 16" o:spid="_x0000_s1026" o:spt="202" type="#_x0000_t202" style="position:absolute;left:0pt;margin-left:295.65pt;margin-top:763.7pt;height:8.3pt;width:2.9pt;mso-position-horizontal-relative:page;mso-position-vertical-relative:page;mso-wrap-style:none;z-index:-440400896;mso-width-relative:page;mso-height-relative:page;" filled="f" stroked="f" coordsize="21600,21600" o:gfxdata="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bsYo42QAAAA0BAAAPAAAAAAAAAAEAIAAAACIAAABkcnMvZG93&#10;bnJldi54bWxQSwECFAAUAAAACACHTuJA25NDI40BAAAiAwAADgAAAAAAAAABACAAAAAoAQAAZHJz&#10;L2Uyb0RvYy54bWxQSwUGAAAAAAYABgBZAQAAJwU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24"/>
                        <w:szCs w:val="24"/>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03D62ECE"/>
    <w:multiLevelType w:val="singleLevel"/>
    <w:tmpl w:val="03D62ECE"/>
    <w:lvl w:ilvl="0" w:tentative="0">
      <w:start w:val="1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30"/>
        <w:szCs w:val="30"/>
        <w:u w:val="none"/>
        <w:shd w:val="clear" w:color="auto" w:fill="auto"/>
        <w:lang w:val="zh-TW" w:eastAsia="zh-TW" w:bidi="zh-TW"/>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55FD36DC"/>
    <w:rsid w:val="565610AD"/>
    <w:rsid w:val="6C583E30"/>
    <w:rsid w:val="78B925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Body text|2_"/>
    <w:basedOn w:val="3"/>
    <w:link w:val="5"/>
    <w:qFormat/>
    <w:uiPriority w:val="0"/>
    <w:rPr>
      <w:rFonts w:ascii="宋体" w:hAnsi="宋体" w:eastAsia="宋体" w:cs="宋体"/>
      <w:color w:val="FD0000"/>
      <w:sz w:val="48"/>
      <w:szCs w:val="48"/>
      <w:u w:val="none"/>
      <w:shd w:val="clear" w:color="auto" w:fill="auto"/>
      <w:lang w:val="zh-TW" w:eastAsia="zh-TW" w:bidi="zh-TW"/>
    </w:rPr>
  </w:style>
  <w:style w:type="paragraph" w:customStyle="1" w:styleId="5">
    <w:name w:val="Body text|2"/>
    <w:basedOn w:val="1"/>
    <w:link w:val="4"/>
    <w:qFormat/>
    <w:uiPriority w:val="0"/>
    <w:pPr>
      <w:widowControl w:val="0"/>
      <w:shd w:val="clear" w:color="auto" w:fill="auto"/>
      <w:spacing w:line="598" w:lineRule="exact"/>
    </w:pPr>
    <w:rPr>
      <w:rFonts w:ascii="宋体" w:hAnsi="宋体" w:eastAsia="宋体" w:cs="宋体"/>
      <w:color w:val="FD0000"/>
      <w:sz w:val="48"/>
      <w:szCs w:val="48"/>
      <w:u w:val="none"/>
      <w:shd w:val="clear" w:color="auto" w:fill="auto"/>
      <w:lang w:val="zh-TW" w:eastAsia="zh-TW" w:bidi="zh-TW"/>
    </w:rPr>
  </w:style>
  <w:style w:type="character" w:customStyle="1" w:styleId="6">
    <w:name w:val="Body text|3_"/>
    <w:basedOn w:val="3"/>
    <w:link w:val="7"/>
    <w:qFormat/>
    <w:uiPriority w:val="0"/>
    <w:rPr>
      <w:rFonts w:ascii="宋体" w:hAnsi="宋体" w:eastAsia="宋体" w:cs="宋体"/>
      <w:b/>
      <w:bCs/>
      <w:color w:val="FD0000"/>
      <w:sz w:val="34"/>
      <w:szCs w:val="34"/>
      <w:u w:val="none"/>
      <w:shd w:val="clear" w:color="auto" w:fill="auto"/>
    </w:rPr>
  </w:style>
  <w:style w:type="paragraph" w:customStyle="1" w:styleId="7">
    <w:name w:val="Body text|3"/>
    <w:basedOn w:val="1"/>
    <w:link w:val="6"/>
    <w:qFormat/>
    <w:uiPriority w:val="0"/>
    <w:pPr>
      <w:widowControl w:val="0"/>
      <w:shd w:val="clear" w:color="auto" w:fill="auto"/>
      <w:spacing w:after="50"/>
      <w:ind w:firstLine="280"/>
    </w:pPr>
    <w:rPr>
      <w:rFonts w:ascii="宋体" w:hAnsi="宋体" w:eastAsia="宋体" w:cs="宋体"/>
      <w:b/>
      <w:bCs/>
      <w:color w:val="FD0000"/>
      <w:sz w:val="34"/>
      <w:szCs w:val="34"/>
      <w:u w:val="none"/>
      <w:shd w:val="clear" w:color="auto" w:fill="auto"/>
    </w:rPr>
  </w:style>
  <w:style w:type="character" w:customStyle="1" w:styleId="8">
    <w:name w:val="Header or footer|2_"/>
    <w:basedOn w:val="3"/>
    <w:link w:val="9"/>
    <w:qFormat/>
    <w:uiPriority w:val="0"/>
    <w:rPr>
      <w:sz w:val="20"/>
      <w:szCs w:val="20"/>
      <w:u w:val="none"/>
      <w:shd w:val="clear" w:color="auto" w:fill="auto"/>
      <w:lang w:val="zh-TW" w:eastAsia="zh-TW" w:bidi="zh-TW"/>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lang w:val="zh-TW" w:eastAsia="zh-TW" w:bidi="zh-TW"/>
    </w:rPr>
  </w:style>
  <w:style w:type="character" w:customStyle="1" w:styleId="10">
    <w:name w:val="Body text|1_"/>
    <w:basedOn w:val="3"/>
    <w:link w:val="11"/>
    <w:qFormat/>
    <w:uiPriority w:val="0"/>
    <w:rPr>
      <w:rFonts w:ascii="宋体" w:hAnsi="宋体" w:eastAsia="宋体" w:cs="宋体"/>
      <w:sz w:val="30"/>
      <w:szCs w:val="30"/>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410" w:lineRule="auto"/>
      <w:ind w:firstLine="400"/>
    </w:pPr>
    <w:rPr>
      <w:rFonts w:ascii="宋体" w:hAnsi="宋体" w:eastAsia="宋体" w:cs="宋体"/>
      <w:sz w:val="30"/>
      <w:szCs w:val="30"/>
      <w:u w:val="none"/>
      <w:shd w:val="clear" w:color="auto" w:fill="auto"/>
      <w:lang w:val="zh-TW" w:eastAsia="zh-TW" w:bidi="zh-TW"/>
    </w:rPr>
  </w:style>
  <w:style w:type="character" w:customStyle="1" w:styleId="12">
    <w:name w:val="Heading #1|1_"/>
    <w:basedOn w:val="3"/>
    <w:link w:val="13"/>
    <w:qFormat/>
    <w:uiPriority w:val="0"/>
    <w:rPr>
      <w:rFonts w:ascii="宋体" w:hAnsi="宋体" w:eastAsia="宋体" w:cs="宋体"/>
      <w:sz w:val="40"/>
      <w:szCs w:val="40"/>
      <w:u w:val="none"/>
      <w:shd w:val="clear" w:color="auto" w:fill="auto"/>
      <w:lang w:val="zh-TW" w:eastAsia="zh-TW" w:bidi="zh-TW"/>
    </w:rPr>
  </w:style>
  <w:style w:type="paragraph" w:customStyle="1" w:styleId="13">
    <w:name w:val="Heading #1|1"/>
    <w:basedOn w:val="1"/>
    <w:link w:val="12"/>
    <w:qFormat/>
    <w:uiPriority w:val="0"/>
    <w:pPr>
      <w:widowControl w:val="0"/>
      <w:shd w:val="clear" w:color="auto" w:fill="auto"/>
      <w:spacing w:after="470" w:line="684"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4">
    <w:name w:val="Header or footer|1_"/>
    <w:basedOn w:val="3"/>
    <w:link w:val="15"/>
    <w:qFormat/>
    <w:uiPriority w:val="0"/>
    <w:rPr>
      <w:u w:val="none"/>
      <w:shd w:val="clear" w:color="auto" w:fill="auto"/>
      <w:lang w:val="zh-TW" w:eastAsia="zh-TW" w:bidi="zh-TW"/>
    </w:rPr>
  </w:style>
  <w:style w:type="paragraph" w:customStyle="1" w:styleId="15">
    <w:name w:val="Header or footer|1"/>
    <w:basedOn w:val="1"/>
    <w:link w:val="14"/>
    <w:qFormat/>
    <w:uiPriority w:val="0"/>
    <w:pPr>
      <w:widowControl w:val="0"/>
      <w:shd w:val="clear" w:color="auto" w:fill="auto"/>
    </w:pPr>
    <w:rPr>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70</TotalTime>
  <ScaleCrop>false</ScaleCrop>
  <LinksUpToDate>false</LinksUpToDate>
  <Application>WPS Office_11.1.0.9740_F1E327BC-269C-435d-A152-05C5408002CA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2020-06-18T06:27:00Z</dcterms:created>
  <dc:creator> NetOCR</dc:creator>
  <cp:lastModifiedBy> 丽  小木  </cp:lastModifiedBy>
  <dcterms:modified xsi:type="dcterms:W3CDTF">2020-06-18T08:11:00Z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