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bookmark4"/>
      <w:bookmarkStart w:id="1" w:name="bookmark3"/>
      <w:bookmarkStart w:id="2" w:name="bookmark5"/>
      <w:r>
        <w:rPr>
          <w:rFonts w:hint="eastAsia" w:ascii="方正小标宋简体" w:hAnsi="方正小标宋简体" w:eastAsia="方正小标宋简体" w:cs="方正小标宋简体"/>
          <w:sz w:val="44"/>
          <w:szCs w:val="44"/>
        </w:rPr>
        <w:t>关于对严重拖欠农民工工资用人单位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及其有关人员开展联合惩戒的合作备忘录</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sz w:val="32"/>
          <w:szCs w:val="32"/>
        </w:rPr>
        <w:t>为认真贯彻党的十九大精神，落实《国务院关于印发社会信用体系建设规划纲要</w:t>
      </w:r>
      <w:r>
        <w:rPr>
          <w:rFonts w:hint="eastAsia" w:ascii="仿宋" w:hAnsi="仿宋" w:eastAsia="仿宋" w:cs="仿宋"/>
          <w:sz w:val="32"/>
          <w:szCs w:val="32"/>
          <w:lang w:val="en-US" w:eastAsia="en-US"/>
        </w:rPr>
        <w:t>（2014-2020</w:t>
      </w:r>
      <w:r>
        <w:rPr>
          <w:rFonts w:hint="eastAsia" w:ascii="仿宋" w:hAnsi="仿宋" w:eastAsia="仿宋" w:cs="仿宋"/>
          <w:sz w:val="32"/>
          <w:szCs w:val="32"/>
        </w:rPr>
        <w:t>年）的通知》（国发〔2014〕21号）、《国务院关于建立完善守信联合激励和失信联合惩戒制度加快推进社会诚信建设的指导意见》（国发〔2016〕33号）以及《国务院办公厅关于全面治理拖欠农民工工资问题的</w:t>
      </w:r>
      <w:r>
        <w:rPr>
          <w:rFonts w:hint="eastAsia" w:ascii="仿宋" w:hAnsi="仿宋" w:eastAsia="仿宋" w:cs="仿宋"/>
          <w:sz w:val="32"/>
          <w:szCs w:val="32"/>
          <w:lang w:val="zh-CN" w:eastAsia="zh-CN"/>
        </w:rPr>
        <w:t>意见》（</w:t>
      </w:r>
      <w:r>
        <w:rPr>
          <w:rFonts w:hint="eastAsia" w:ascii="仿宋" w:hAnsi="仿宋" w:eastAsia="仿宋" w:cs="仿宋"/>
          <w:sz w:val="32"/>
          <w:szCs w:val="32"/>
        </w:rPr>
        <w:t>国办发〔2016〕1号）等有关要求，加快推进劳动保障诚信体系建设，加大对严重拖欠农民工工资违法失信行为的惩戒力度，促进用人单位依法规范用工，国家发展改革委、人民银行、人力资源社会保障部、中央组织部、中央文明办、中央网信办、最高人民法院、工业和信息化部、财政部、国土资源部、住房城乡建设部、交通运输部、水利部、商务部、国资委、海关总署、税务总局、工商总局、质</w:t>
      </w:r>
      <w:r>
        <w:rPr>
          <w:rFonts w:hint="eastAsia" w:ascii="仿宋" w:hAnsi="仿宋" w:eastAsia="仿宋" w:cs="仿宋"/>
          <w:color w:val="000000"/>
          <w:spacing w:val="0"/>
          <w:w w:val="100"/>
          <w:position w:val="0"/>
          <w:sz w:val="32"/>
          <w:szCs w:val="32"/>
        </w:rPr>
        <w:t>检总局、新闻出版广电总局、银监会、证监会、</w:t>
      </w:r>
      <w:r>
        <w:rPr>
          <w:rFonts w:hint="eastAsia" w:ascii="仿宋" w:hAnsi="仿宋" w:eastAsia="仿宋" w:cs="仿宋"/>
          <w:color w:val="000000"/>
          <w:spacing w:val="0"/>
          <w:w w:val="100"/>
          <w:position w:val="0"/>
          <w:sz w:val="32"/>
          <w:szCs w:val="32"/>
          <w:lang w:eastAsia="zh-CN"/>
        </w:rPr>
        <w:t>保监会、国家公务员局、国家外汇管理局、民航局、全国总工会、共青团中央、全国妇联、铁路总公司等部门就针对严重拖欠农民工工资用人单位及其有关人员开展联合惩戒工作，达成如下一致意见。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一、联合惩戒对象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联合惩戒对象为存在严重拖欠农民工工资违法失信行为的用人单位及其法定代表人、主要负责人和负有直接责任的有关人员。联合惩戒对象名单按照有关管理办法产生，由人力资源社会保障部门负责提供。</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sz w:val="32"/>
          <w:szCs w:val="32"/>
        </w:rPr>
        <w:t>二、联合惩戒措施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各部门依照有关规定，对</w:t>
      </w:r>
      <w:r>
        <w:rPr>
          <w:rFonts w:hint="eastAsia" w:ascii="仿宋" w:hAnsi="仿宋" w:eastAsia="仿宋" w:cs="仿宋"/>
          <w:sz w:val="32"/>
          <w:szCs w:val="32"/>
          <w:lang w:eastAsia="zh-CN"/>
        </w:rPr>
        <w:t>联</w:t>
      </w:r>
      <w:r>
        <w:rPr>
          <w:rFonts w:hint="eastAsia" w:ascii="仿宋" w:hAnsi="仿宋" w:eastAsia="仿宋" w:cs="仿宋"/>
          <w:sz w:val="32"/>
          <w:szCs w:val="32"/>
        </w:rPr>
        <w:t>合惩戒对象采取下列一种或多种惩戒措施（相关依据和实施部门见附表）。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3" w:name="bookmark6"/>
      <w:r>
        <w:rPr>
          <w:rFonts w:hint="eastAsia" w:ascii="仿宋" w:hAnsi="仿宋" w:eastAsia="仿宋" w:cs="仿宋"/>
          <w:sz w:val="32"/>
          <w:szCs w:val="32"/>
        </w:rPr>
        <w:t>（</w:t>
      </w:r>
      <w:bookmarkEnd w:id="3"/>
      <w:r>
        <w:rPr>
          <w:rFonts w:hint="eastAsia" w:ascii="仿宋" w:hAnsi="仿宋" w:eastAsia="仿宋" w:cs="仿宋"/>
          <w:sz w:val="32"/>
          <w:szCs w:val="32"/>
        </w:rPr>
        <w:t>一）</w:t>
      </w:r>
      <w:r>
        <w:rPr>
          <w:rFonts w:hint="eastAsia" w:ascii="仿宋" w:hAnsi="仿宋" w:eastAsia="仿宋" w:cs="仿宋"/>
          <w:sz w:val="32"/>
          <w:szCs w:val="32"/>
        </w:rPr>
        <w:tab/>
      </w:r>
      <w:r>
        <w:rPr>
          <w:rFonts w:hint="eastAsia" w:ascii="仿宋" w:hAnsi="仿宋" w:eastAsia="仿宋" w:cs="仿宋"/>
          <w:sz w:val="32"/>
          <w:szCs w:val="32"/>
        </w:rPr>
        <w:t>通过</w:t>
      </w:r>
      <w:r>
        <w:rPr>
          <w:rFonts w:hint="eastAsia" w:ascii="仿宋" w:hAnsi="仿宋" w:eastAsia="仿宋" w:cs="仿宋"/>
          <w:sz w:val="32"/>
          <w:szCs w:val="32"/>
          <w:lang w:val="zh-CN" w:eastAsia="zh-CN"/>
        </w:rPr>
        <w:t>“信用</w:t>
      </w:r>
      <w:r>
        <w:rPr>
          <w:rFonts w:hint="eastAsia" w:ascii="仿宋" w:hAnsi="仿宋" w:eastAsia="仿宋" w:cs="仿宋"/>
          <w:sz w:val="32"/>
          <w:szCs w:val="32"/>
        </w:rPr>
        <w:t>中国"网站、国家企业信用信息公示系统以及主要新闻网站等向社会公布。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4" w:name="bookmark7"/>
      <w:r>
        <w:rPr>
          <w:rFonts w:hint="eastAsia" w:ascii="仿宋" w:hAnsi="仿宋" w:eastAsia="仿宋" w:cs="仿宋"/>
          <w:sz w:val="32"/>
          <w:szCs w:val="32"/>
        </w:rPr>
        <w:t>（</w:t>
      </w:r>
      <w:bookmarkEnd w:id="4"/>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作为重点监管对象，加大劳动保障监察检查频次。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5" w:name="bookmark8"/>
      <w:r>
        <w:rPr>
          <w:rFonts w:hint="eastAsia" w:ascii="仿宋" w:hAnsi="仿宋" w:eastAsia="仿宋" w:cs="仿宋"/>
          <w:sz w:val="32"/>
          <w:szCs w:val="32"/>
        </w:rPr>
        <w:t>（</w:t>
      </w:r>
      <w:bookmarkEnd w:id="5"/>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依法暂停审批其新的重大项目申报，核减、停止拨付或收回政府补贴资金。</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6" w:name="bookmark9"/>
      <w:r>
        <w:rPr>
          <w:rFonts w:hint="eastAsia" w:ascii="仿宋" w:hAnsi="仿宋" w:eastAsia="仿宋" w:cs="仿宋"/>
          <w:sz w:val="32"/>
          <w:szCs w:val="32"/>
        </w:rPr>
        <w:t>（</w:t>
      </w:r>
      <w:bookmarkEnd w:id="6"/>
      <w:r>
        <w:rPr>
          <w:rFonts w:hint="eastAsia" w:ascii="仿宋" w:hAnsi="仿宋" w:eastAsia="仿宋" w:cs="仿宋"/>
          <w:sz w:val="32"/>
          <w:szCs w:val="32"/>
        </w:rPr>
        <w:t>四）</w:t>
      </w:r>
      <w:r>
        <w:rPr>
          <w:rFonts w:hint="eastAsia" w:ascii="仿宋" w:hAnsi="仿宋" w:eastAsia="仿宋" w:cs="仿宋"/>
          <w:sz w:val="32"/>
          <w:szCs w:val="32"/>
        </w:rPr>
        <w:tab/>
      </w:r>
      <w:r>
        <w:rPr>
          <w:rFonts w:hint="eastAsia" w:ascii="仿宋" w:hAnsi="仿宋" w:eastAsia="仿宋" w:cs="仿宋"/>
          <w:sz w:val="32"/>
          <w:szCs w:val="32"/>
        </w:rPr>
        <w:t>依法限制参与工程建设项目招投标活动。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7" w:name="bookmark10"/>
      <w:r>
        <w:rPr>
          <w:rFonts w:hint="eastAsia" w:ascii="仿宋" w:hAnsi="仿宋" w:eastAsia="仿宋" w:cs="仿宋"/>
          <w:sz w:val="32"/>
          <w:szCs w:val="32"/>
        </w:rPr>
        <w:t>（</w:t>
      </w:r>
      <w:bookmarkEnd w:id="7"/>
      <w:r>
        <w:rPr>
          <w:rFonts w:hint="eastAsia" w:ascii="仿宋" w:hAnsi="仿宋" w:eastAsia="仿宋" w:cs="仿宋"/>
          <w:sz w:val="32"/>
          <w:szCs w:val="32"/>
        </w:rPr>
        <w:t>五）</w:t>
      </w:r>
      <w:r>
        <w:rPr>
          <w:rFonts w:hint="eastAsia" w:ascii="仿宋" w:hAnsi="仿宋" w:eastAsia="仿宋" w:cs="仿宋"/>
          <w:sz w:val="32"/>
          <w:szCs w:val="32"/>
        </w:rPr>
        <w:tab/>
      </w:r>
      <w:r>
        <w:rPr>
          <w:rFonts w:hint="eastAsia" w:ascii="仿宋" w:hAnsi="仿宋" w:eastAsia="仿宋" w:cs="仿宋"/>
          <w:sz w:val="32"/>
          <w:szCs w:val="32"/>
        </w:rPr>
        <w:t>依法限制取得或终止其基础设施和公用事业特许经营。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8" w:name="bookmark11"/>
      <w:r>
        <w:rPr>
          <w:rFonts w:hint="eastAsia" w:ascii="仿宋" w:hAnsi="仿宋" w:eastAsia="仿宋" w:cs="仿宋"/>
          <w:sz w:val="32"/>
          <w:szCs w:val="32"/>
        </w:rPr>
        <w:t>（</w:t>
      </w:r>
      <w:bookmarkEnd w:id="8"/>
      <w:r>
        <w:rPr>
          <w:rFonts w:hint="eastAsia" w:ascii="仿宋" w:hAnsi="仿宋" w:eastAsia="仿宋" w:cs="仿宋"/>
          <w:sz w:val="32"/>
          <w:szCs w:val="32"/>
        </w:rPr>
        <w:t>六）</w:t>
      </w:r>
      <w:r>
        <w:rPr>
          <w:rFonts w:hint="eastAsia" w:ascii="仿宋" w:hAnsi="仿宋" w:eastAsia="仿宋" w:cs="仿宋"/>
          <w:sz w:val="32"/>
          <w:szCs w:val="32"/>
        </w:rPr>
        <w:tab/>
      </w:r>
      <w:r>
        <w:rPr>
          <w:rFonts w:hint="eastAsia" w:ascii="仿宋" w:hAnsi="仿宋" w:eastAsia="仿宋" w:cs="仿宋"/>
          <w:sz w:val="32"/>
          <w:szCs w:val="32"/>
        </w:rPr>
        <w:t>依法限制、暂停或取消政策性资金、政府补贴性资金 和社会保障资金支持。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9" w:name="bookmark12"/>
      <w:r>
        <w:rPr>
          <w:rFonts w:hint="eastAsia" w:ascii="仿宋" w:hAnsi="仿宋" w:eastAsia="仿宋" w:cs="仿宋"/>
          <w:sz w:val="32"/>
          <w:szCs w:val="32"/>
        </w:rPr>
        <w:t>（</w:t>
      </w:r>
      <w:bookmarkEnd w:id="9"/>
      <w:r>
        <w:rPr>
          <w:rFonts w:hint="eastAsia" w:ascii="仿宋" w:hAnsi="仿宋" w:eastAsia="仿宋" w:cs="仿宋"/>
          <w:sz w:val="32"/>
          <w:szCs w:val="32"/>
        </w:rPr>
        <w:t>七）</w:t>
      </w:r>
      <w:r>
        <w:rPr>
          <w:rFonts w:hint="eastAsia" w:ascii="仿宋" w:hAnsi="仿宋" w:eastAsia="仿宋" w:cs="仿宋"/>
          <w:sz w:val="32"/>
          <w:szCs w:val="32"/>
        </w:rPr>
        <w:tab/>
      </w:r>
      <w:r>
        <w:rPr>
          <w:rFonts w:hint="eastAsia" w:ascii="仿宋" w:hAnsi="仿宋" w:eastAsia="仿宋" w:cs="仿宋"/>
          <w:sz w:val="32"/>
          <w:szCs w:val="32"/>
        </w:rPr>
        <w:t>在一定期限内依法禁止其作为供应商参与政府采购活动。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10" w:name="bookmark13"/>
      <w:r>
        <w:rPr>
          <w:rFonts w:hint="eastAsia" w:ascii="仿宋" w:hAnsi="仿宋" w:eastAsia="仿宋" w:cs="仿宋"/>
          <w:sz w:val="32"/>
          <w:szCs w:val="32"/>
        </w:rPr>
        <w:t>（</w:t>
      </w:r>
      <w:bookmarkEnd w:id="10"/>
      <w:r>
        <w:rPr>
          <w:rFonts w:hint="eastAsia" w:ascii="仿宋" w:hAnsi="仿宋" w:eastAsia="仿宋" w:cs="仿宋"/>
          <w:sz w:val="32"/>
          <w:szCs w:val="32"/>
        </w:rPr>
        <w:t>八）</w:t>
      </w:r>
      <w:r>
        <w:rPr>
          <w:rFonts w:hint="eastAsia" w:ascii="仿宋" w:hAnsi="仿宋" w:eastAsia="仿宋" w:cs="仿宋"/>
          <w:sz w:val="32"/>
          <w:szCs w:val="32"/>
        </w:rPr>
        <w:tab/>
      </w:r>
      <w:r>
        <w:rPr>
          <w:rFonts w:hint="eastAsia" w:ascii="仿宋" w:hAnsi="仿宋" w:eastAsia="仿宋" w:cs="仿宋"/>
          <w:sz w:val="32"/>
          <w:szCs w:val="32"/>
        </w:rPr>
        <w:t>依法限制取得政府供应土地。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bookmarkStart w:id="11" w:name="bookmark14"/>
      <w:r>
        <w:rPr>
          <w:rFonts w:hint="eastAsia" w:ascii="仿宋" w:hAnsi="仿宋" w:eastAsia="仿宋" w:cs="仿宋"/>
          <w:sz w:val="32"/>
          <w:szCs w:val="32"/>
        </w:rPr>
        <w:t>（</w:t>
      </w:r>
      <w:bookmarkEnd w:id="11"/>
      <w:r>
        <w:rPr>
          <w:rFonts w:hint="eastAsia" w:ascii="仿宋" w:hAnsi="仿宋" w:eastAsia="仿宋" w:cs="仿宋"/>
          <w:sz w:val="32"/>
          <w:szCs w:val="32"/>
        </w:rPr>
        <w:t>九）</w:t>
      </w:r>
      <w:r>
        <w:rPr>
          <w:rFonts w:hint="eastAsia" w:ascii="仿宋" w:hAnsi="仿宋" w:eastAsia="仿宋" w:cs="仿宋"/>
          <w:sz w:val="32"/>
          <w:szCs w:val="32"/>
        </w:rPr>
        <w:tab/>
      </w:r>
      <w:r>
        <w:rPr>
          <w:rFonts w:hint="eastAsia" w:ascii="仿宋" w:hAnsi="仿宋" w:eastAsia="仿宋" w:cs="仿宋"/>
          <w:sz w:val="32"/>
          <w:szCs w:val="32"/>
        </w:rPr>
        <w:t>将违法失信信息作为审核公司信用类债券的重要参考。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（十）将违法失信信息作为股票发行审核及在全国中小企业股份转让系统公开转让审核的重要参考。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（十一）将违法失信信息作为证券公司、保险公司、基金管理公司及期货公司的设立及股权或实际控制人变更审批或备案</w:t>
      </w:r>
      <w:r>
        <w:rPr>
          <w:rFonts w:hint="eastAsia" w:ascii="仿宋" w:hAnsi="仿宋" w:eastAsia="仿宋" w:cs="仿宋"/>
          <w:sz w:val="32"/>
          <w:szCs w:val="32"/>
          <w:lang w:eastAsia="zh-CN"/>
        </w:rPr>
        <w:t>，</w:t>
      </w:r>
      <w:r>
        <w:rPr>
          <w:rFonts w:hint="eastAsia" w:ascii="仿宋" w:hAnsi="仿宋" w:eastAsia="仿宋" w:cs="仿宋"/>
          <w:sz w:val="32"/>
          <w:szCs w:val="32"/>
        </w:rPr>
        <w:t>私募投资基金管理人登记、重大事项变更以及基金备案时的重要 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（十二）将违法失信信息作为证券公司、基金管理公司、期货公司的董事、监事和高级管理人员及分支机构负责人任职审批 或备案的参考。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（十三）将违法失信信息作为独立基金销售机构审批时的参考。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（十四）将违法失信信息作为境内上市公司实行股权激励计划或相关人员成为股权激励对象事中事后监管的重要参考</w:t>
      </w:r>
      <w:r>
        <w:rPr>
          <w:rFonts w:hint="eastAsia" w:ascii="仿宋" w:hAnsi="仿宋" w:eastAsia="仿宋" w:cs="仿宋"/>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en-US"/>
        </w:rPr>
        <w:t>（十五）将违法失信信息纳入金融信用信息基础数据库，作</w:t>
      </w:r>
      <w:r>
        <w:rPr>
          <w:rFonts w:hint="eastAsia" w:ascii="仿宋" w:hAnsi="仿宋" w:eastAsia="仿宋" w:cs="仿宋"/>
          <w:sz w:val="32"/>
          <w:szCs w:val="32"/>
          <w:lang w:val="en-US" w:eastAsia="zh-CN"/>
        </w:rPr>
        <w:t>为评级授信、信贷融资、管理和退出的重要参考。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（十六）被列为严重拖欠农民工工资用人单位的上市企业,应当依据法律法规有关规定，履行信息披露义务。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（十七）在上市公司或非上市公众公司收购的事中事后监管中，对有严重违法失信行为的单位予以重点关注。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（十八）将违法失信信息作为外汇管理行政审批参考。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（十九）限制成为海关认证企业，申请海关认证企业管理的,不予通过认证；对已经成为认证企业的，按照规定下调企业信用 等级。</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（二十）办理海关相关业务时，对其进出口货物实施严密监管，加强单证审核、布控查验、加工贸易担保征收或后续稽查。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（二十一）限制其取得认证机构资质；限制其获得认证证书。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（二十二）将违法失信信息纳入检验检疫进出口企业信用管理系统，依法对其进行信用评级和监督。</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（二十三）对因未履行支付工资生效法律文书确定的义务被人民法院按照有关规定依法采取限制消费措施或依法纳入失信被执行人名单的，限制乘坐飞机、列车软卧、</w:t>
      </w:r>
      <w:r>
        <w:rPr>
          <w:rFonts w:hint="eastAsia" w:ascii="仿宋" w:hAnsi="仿宋" w:eastAsia="仿宋" w:cs="仿宋"/>
          <w:sz w:val="32"/>
          <w:szCs w:val="32"/>
          <w:lang w:val="en-US" w:eastAsia="en-US"/>
        </w:rPr>
        <w:t>G</w:t>
      </w:r>
      <w:r>
        <w:rPr>
          <w:rFonts w:hint="eastAsia" w:ascii="仿宋" w:hAnsi="仿宋" w:eastAsia="仿宋" w:cs="仿宋"/>
          <w:sz w:val="32"/>
          <w:szCs w:val="32"/>
        </w:rPr>
        <w:t>字头动车组列车、其他动车组列车一等以上座位等高消费及其他非生活和工作必需的消费行为。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四）对因未履行支付工资生效法律文书确定的义务被人民法院按照有关规定依法采取限制消费措施或依法纳入失信被执行人名单的，限制新建、扩建、高档装修房屋，购买非经营必需车辆等非生活和工作必需的消费行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（二十五）限制享受投资等领域优惠政策。</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（二十六）按程序及时撤销相关荣誉，取消惩戒对象参加评先评优资格，不得向惩戒对象授予</w:t>
      </w:r>
      <w:r>
        <w:rPr>
          <w:rFonts w:hint="eastAsia" w:ascii="仿宋" w:hAnsi="仿宋" w:eastAsia="仿宋" w:cs="仿宋"/>
          <w:sz w:val="32"/>
          <w:szCs w:val="32"/>
          <w:lang w:val="zh-CN" w:eastAsia="zh-CN"/>
        </w:rPr>
        <w:t>“文</w:t>
      </w:r>
      <w:r>
        <w:rPr>
          <w:rFonts w:hint="eastAsia" w:ascii="仿宋" w:hAnsi="仿宋" w:eastAsia="仿宋" w:cs="仿宋"/>
          <w:sz w:val="32"/>
          <w:szCs w:val="32"/>
        </w:rPr>
        <w:t>明单位</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zh-CN" w:eastAsia="zh-CN"/>
        </w:rPr>
        <w:t>“道</w:t>
      </w:r>
      <w:r>
        <w:rPr>
          <w:rFonts w:hint="eastAsia" w:ascii="仿宋" w:hAnsi="仿宋" w:eastAsia="仿宋" w:cs="仿宋"/>
          <w:sz w:val="32"/>
          <w:szCs w:val="32"/>
        </w:rPr>
        <w:t>德模范</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zh-CN" w:eastAsia="zh-CN"/>
        </w:rPr>
        <w:t>“劳</w:t>
      </w:r>
      <w:r>
        <w:rPr>
          <w:rFonts w:hint="eastAsia" w:ascii="仿宋" w:hAnsi="仿宋" w:eastAsia="仿宋" w:cs="仿宋"/>
          <w:sz w:val="32"/>
          <w:szCs w:val="32"/>
        </w:rPr>
        <w:t>动模范</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zh-CN" w:eastAsia="zh-CN"/>
        </w:rPr>
        <w:t>“五</w:t>
      </w:r>
      <w:r>
        <w:rPr>
          <w:rFonts w:hint="eastAsia" w:ascii="仿宋" w:hAnsi="仿宋" w:eastAsia="仿宋" w:cs="仿宋"/>
          <w:sz w:val="32"/>
          <w:szCs w:val="32"/>
        </w:rPr>
        <w:t>一劳动奖章</w:t>
      </w:r>
      <w:r>
        <w:rPr>
          <w:rFonts w:hint="eastAsia" w:ascii="仿宋" w:hAnsi="仿宋" w:eastAsia="仿宋" w:cs="仿宋"/>
          <w:sz w:val="32"/>
          <w:szCs w:val="32"/>
          <w:lang w:eastAsia="zh-CN"/>
        </w:rPr>
        <w:t>”</w:t>
      </w:r>
      <w:r>
        <w:rPr>
          <w:rFonts w:hint="eastAsia" w:ascii="仿宋" w:hAnsi="仿宋" w:eastAsia="仿宋" w:cs="仿宋"/>
          <w:sz w:val="32"/>
          <w:szCs w:val="32"/>
        </w:rPr>
        <w:t>等荣誉。</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（二十七）限制招录（聘）为公务员或事业单位工作人员。 </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（二十八）相关监管部门加强日常监督管理，提高检查频次。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（二十九）对广播电台、电视台、报刊音像出版单位等媒体发布违法失信用人单位广告依法加强管理。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（三十）其他惩戒措施。</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联合惩戒实施方式</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人力资源社会保障部门通过全国信用信息共享平台、地方信用信息共享平台等推送存在严重拖欠农民工工资违法失信行为的用人单位及其有关人员信息，并通过人力资源社会保障部门门户网站、</w:t>
      </w:r>
      <w:r>
        <w:rPr>
          <w:rFonts w:hint="eastAsia" w:ascii="仿宋" w:hAnsi="仿宋" w:eastAsia="仿宋" w:cs="仿宋"/>
          <w:sz w:val="32"/>
          <w:szCs w:val="32"/>
          <w:lang w:val="zh-CN" w:eastAsia="zh-CN"/>
        </w:rPr>
        <w:t>“信</w:t>
      </w:r>
      <w:r>
        <w:rPr>
          <w:rFonts w:hint="eastAsia" w:ascii="仿宋" w:hAnsi="仿宋" w:eastAsia="仿宋" w:cs="仿宋"/>
          <w:sz w:val="32"/>
          <w:szCs w:val="32"/>
        </w:rPr>
        <w:t>用中国</w:t>
      </w:r>
      <w:r>
        <w:rPr>
          <w:rFonts w:hint="eastAsia" w:ascii="仿宋" w:hAnsi="仿宋" w:eastAsia="仿宋" w:cs="仿宋"/>
          <w:sz w:val="32"/>
          <w:szCs w:val="32"/>
          <w:lang w:val="en-US" w:eastAsia="zh-CN"/>
        </w:rPr>
        <w:t>”</w:t>
      </w:r>
      <w:r>
        <w:rPr>
          <w:rFonts w:hint="eastAsia" w:ascii="仿宋" w:hAnsi="仿宋" w:eastAsia="仿宋" w:cs="仿宋"/>
          <w:sz w:val="32"/>
          <w:szCs w:val="32"/>
        </w:rPr>
        <w:t>网站、国家企业信用信息公示系统向社会公</w:t>
      </w:r>
      <w:r>
        <w:rPr>
          <w:rFonts w:hint="eastAsia" w:ascii="仿宋" w:hAnsi="仿宋" w:eastAsia="仿宋" w:cs="仿宋"/>
          <w:sz w:val="32"/>
          <w:szCs w:val="32"/>
          <w:lang w:eastAsia="zh-CN"/>
        </w:rPr>
        <w:t>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各部门按照本备忘录约定内容，依法依规对严重拖欠农民工 工资用人单位及其有关人员实施联合惩戒。同时，建立惩戒效果定期通报机制，各部门根据实际情况定期将联合惩戒实施情况通过全国信用信息共享平台联合奖惩子系统反馈至国家发展改革委和人力资源社会保障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四、其他事宜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部门应密切协作，积极落实本备忘录，制定完善相关领域规范性文件，推动健全相关领域立法，指导本系统各级单位依法依规实施联合惩戒措施。本备忘录实施过程中涉及部门之间协同配合的问题，由各部门协商解决。</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sectPr>
          <w:footerReference r:id="rId3" w:type="default"/>
          <w:pgSz w:w="11906" w:h="16838"/>
          <w:pgMar w:top="1871" w:right="1417" w:bottom="1871" w:left="1417" w:header="851" w:footer="992" w:gutter="0"/>
          <w:pgNumType w:fmt="numberInDash"/>
          <w:cols w:space="425" w:num="1"/>
          <w:docGrid w:type="lines" w:linePitch="312" w:charSpace="0"/>
        </w:sectPr>
      </w:pPr>
      <w:r>
        <w:rPr>
          <w:rFonts w:hint="eastAsia" w:ascii="仿宋" w:hAnsi="仿宋" w:eastAsia="仿宋" w:cs="仿宋"/>
          <w:sz w:val="32"/>
          <w:szCs w:val="32"/>
        </w:rPr>
        <w:t>本备忘录签署后，各项惩戒措施依据的法律、法规、规章及规范性文件有修改或调整的，以修改后的法律、法规、规章及规范性文件为准</w:t>
      </w:r>
      <w:r>
        <w:rPr>
          <w:rFonts w:hint="eastAsia" w:ascii="仿宋" w:hAnsi="仿宋" w:eastAsia="仿宋" w:cs="仿宋"/>
          <w:sz w:val="32"/>
          <w:szCs w:val="32"/>
          <w:lang w:eastAsia="zh-CN"/>
        </w:rPr>
        <w:t>。</w:t>
      </w:r>
    </w:p>
    <w:p>
      <w:pPr>
        <w:pStyle w:val="10"/>
        <w:keepNext w:val="0"/>
        <w:keepLines w:val="0"/>
        <w:widowControl w:val="0"/>
        <w:shd w:val="clear" w:color="auto" w:fill="auto"/>
        <w:bidi w:val="0"/>
        <w:spacing w:before="320" w:after="240" w:line="240" w:lineRule="auto"/>
        <w:ind w:left="0" w:right="0" w:firstLine="0"/>
        <w:jc w:val="left"/>
        <w:rPr>
          <w:rFonts w:hint="eastAsia"/>
          <w:color w:val="000000"/>
          <w:spacing w:val="0"/>
          <w:w w:val="100"/>
          <w:position w:val="0"/>
          <w:sz w:val="30"/>
          <w:szCs w:val="30"/>
          <w:lang w:eastAsia="zh-CN"/>
        </w:rPr>
      </w:pPr>
      <w:r>
        <w:rPr>
          <w:color w:val="000000"/>
          <w:spacing w:val="0"/>
          <w:w w:val="100"/>
          <w:position w:val="0"/>
          <w:sz w:val="30"/>
          <w:szCs w:val="30"/>
        </w:rPr>
        <w:t>附</w:t>
      </w:r>
      <w:r>
        <w:rPr>
          <w:rFonts w:hint="eastAsia"/>
          <w:color w:val="000000"/>
          <w:spacing w:val="0"/>
          <w:w w:val="100"/>
          <w:position w:val="0"/>
          <w:sz w:val="30"/>
          <w:szCs w:val="30"/>
          <w:lang w:eastAsia="zh-CN"/>
        </w:rPr>
        <w:t>表：</w:t>
      </w:r>
    </w:p>
    <w:p>
      <w:pPr>
        <w:pStyle w:val="10"/>
        <w:keepNext w:val="0"/>
        <w:keepLines w:val="0"/>
        <w:widowControl w:val="0"/>
        <w:shd w:val="clear" w:color="auto" w:fill="auto"/>
        <w:bidi w:val="0"/>
        <w:spacing w:before="320" w:after="240" w:line="240" w:lineRule="auto"/>
        <w:ind w:left="0" w:right="0" w:firstLine="0"/>
        <w:jc w:val="center"/>
        <w:rPr>
          <w:rFonts w:hint="eastAsia" w:eastAsia="宋体"/>
          <w:lang w:eastAsia="zh-CN"/>
        </w:rPr>
      </w:pPr>
      <w:r>
        <w:rPr>
          <w:rFonts w:hint="eastAsia"/>
          <w:color w:val="000000"/>
          <w:spacing w:val="0"/>
          <w:w w:val="100"/>
          <w:position w:val="0"/>
          <w:sz w:val="36"/>
          <w:szCs w:val="36"/>
          <w:lang w:eastAsia="zh-CN"/>
        </w:rPr>
        <w:t>联合</w:t>
      </w:r>
      <w:r>
        <w:rPr>
          <w:color w:val="000000"/>
          <w:spacing w:val="0"/>
          <w:w w:val="100"/>
          <w:position w:val="0"/>
          <w:sz w:val="36"/>
          <w:szCs w:val="36"/>
        </w:rPr>
        <w:t>惩戒措施</w:t>
      </w:r>
      <w:r>
        <w:rPr>
          <w:rFonts w:hint="eastAsia"/>
          <w:color w:val="000000"/>
          <w:spacing w:val="0"/>
          <w:w w:val="100"/>
          <w:position w:val="0"/>
          <w:sz w:val="36"/>
          <w:szCs w:val="36"/>
          <w:lang w:eastAsia="zh-CN"/>
        </w:rPr>
        <w:t>相关</w:t>
      </w:r>
      <w:r>
        <w:rPr>
          <w:color w:val="000000"/>
          <w:spacing w:val="0"/>
          <w:w w:val="100"/>
          <w:position w:val="0"/>
          <w:sz w:val="36"/>
          <w:szCs w:val="36"/>
        </w:rPr>
        <w:t>依据</w:t>
      </w:r>
      <w:r>
        <w:rPr>
          <w:rFonts w:hint="eastAsia"/>
          <w:color w:val="000000"/>
          <w:spacing w:val="0"/>
          <w:w w:val="100"/>
          <w:position w:val="0"/>
          <w:sz w:val="36"/>
          <w:szCs w:val="36"/>
          <w:lang w:eastAsia="zh-CN"/>
        </w:rPr>
        <w:t>和实施部门</w:t>
      </w:r>
    </w:p>
    <w:tbl>
      <w:tblPr>
        <w:tblStyle w:val="4"/>
        <w:tblW w:w="0" w:type="auto"/>
        <w:jc w:val="center"/>
        <w:tblLayout w:type="fixed"/>
        <w:tblCellMar>
          <w:top w:w="0" w:type="dxa"/>
          <w:left w:w="10" w:type="dxa"/>
          <w:bottom w:w="0" w:type="dxa"/>
          <w:right w:w="10" w:type="dxa"/>
        </w:tblCellMar>
      </w:tblPr>
      <w:tblGrid>
        <w:gridCol w:w="1765"/>
        <w:gridCol w:w="10269"/>
        <w:gridCol w:w="1464"/>
      </w:tblGrid>
      <w:tr>
        <w:tblPrEx>
          <w:tblCellMar>
            <w:top w:w="0" w:type="dxa"/>
            <w:left w:w="10" w:type="dxa"/>
            <w:bottom w:w="0" w:type="dxa"/>
            <w:right w:w="10" w:type="dxa"/>
          </w:tblCellMar>
        </w:tblPrEx>
        <w:trPr>
          <w:trHeight w:val="346" w:hRule="exact"/>
          <w:jc w:val="center"/>
        </w:trPr>
        <w:tc>
          <w:tcPr>
            <w:tcW w:w="1765" w:type="dxa"/>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W w:w="10269" w:type="dxa"/>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W w:w="1464" w:type="dxa"/>
            <w:tcBorders>
              <w:top w:val="single" w:color="auto" w:sz="4" w:space="0"/>
              <w:left w:val="single" w:color="auto" w:sz="4" w:space="0"/>
              <w:right w:val="single" w:color="auto" w:sz="4" w:space="0"/>
            </w:tcBorders>
            <w:shd w:val="clear" w:color="auto" w:fill="FFFFFF"/>
            <w:vAlign w:val="bottom"/>
          </w:tcPr>
          <w:p>
            <w:pPr>
              <w:pStyle w:val="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6877"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rPr>
            </w:pPr>
            <w:r>
              <w:rPr>
                <w:rFonts w:hint="eastAsia" w:ascii="宋体" w:hAnsi="宋体" w:eastAsia="宋体" w:cs="宋体"/>
                <w:lang w:val="en-US" w:eastAsia="en-US"/>
              </w:rPr>
              <w:t>（</w:t>
            </w:r>
            <w:r>
              <w:rPr>
                <w:rFonts w:hint="eastAsia" w:ascii="宋体" w:hAnsi="宋体" w:eastAsia="宋体" w:cs="宋体"/>
                <w:lang w:val="en-US" w:eastAsia="zh-CN"/>
              </w:rPr>
              <w:t>一</w:t>
            </w:r>
            <w:r>
              <w:rPr>
                <w:rFonts w:hint="eastAsia" w:ascii="宋体" w:hAnsi="宋体" w:eastAsia="宋体" w:cs="宋体"/>
                <w:lang w:val="en-US" w:eastAsia="en-US"/>
              </w:rPr>
              <w:t>）</w:t>
            </w:r>
            <w:r>
              <w:rPr>
                <w:rFonts w:hint="eastAsia" w:ascii="宋体" w:hAnsi="宋体" w:eastAsia="宋体" w:cs="宋体"/>
              </w:rPr>
              <w:t>通过</w:t>
            </w:r>
            <w:r>
              <w:rPr>
                <w:rFonts w:hint="eastAsia" w:ascii="宋体" w:hAnsi="宋体" w:eastAsia="宋体" w:cs="宋体"/>
                <w:lang w:val="zh-CN" w:eastAsia="zh-CN"/>
              </w:rPr>
              <w:t>“信</w:t>
            </w:r>
            <w:r>
              <w:rPr>
                <w:rFonts w:hint="eastAsia" w:ascii="宋体" w:hAnsi="宋体" w:eastAsia="宋体" w:cs="宋体"/>
              </w:rPr>
              <w:t>用中国</w:t>
            </w:r>
            <w:r>
              <w:rPr>
                <w:rFonts w:hint="eastAsia" w:ascii="宋体" w:hAnsi="宋体" w:eastAsia="宋体" w:cs="宋体"/>
                <w:lang w:val="en-US" w:eastAsia="zh-CN"/>
              </w:rPr>
              <w:t>”</w:t>
            </w:r>
            <w:r>
              <w:rPr>
                <w:rFonts w:hint="eastAsia" w:ascii="宋体" w:hAnsi="宋体" w:eastAsia="宋体" w:cs="宋体"/>
              </w:rPr>
              <w:t>网站、国家企业信用信息公示系统以及主要新闻网站等向社会公布。</w:t>
            </w:r>
          </w:p>
          <w:p>
            <w:pPr>
              <w:pStyle w:val="11"/>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《国务院办公厅关于运用大数据加强对市场主体服务和监管的若干意见》（国办发（2015）51号）</w:t>
            </w:r>
          </w:p>
          <w:p>
            <w:pPr>
              <w:bidi w:val="0"/>
              <w:ind w:firstLine="480" w:firstLineChars="200"/>
              <w:rPr>
                <w:rFonts w:hint="eastAsia" w:ascii="宋体" w:hAnsi="宋体" w:eastAsia="宋体" w:cs="宋体"/>
              </w:rPr>
            </w:pPr>
            <w:r>
              <w:rPr>
                <w:rFonts w:hint="eastAsia" w:ascii="宋体" w:hAnsi="宋体" w:eastAsia="宋体" w:cs="宋体"/>
              </w:rPr>
              <w:t>第十九条</w:t>
            </w:r>
            <w:r>
              <w:rPr>
                <w:rFonts w:hint="eastAsia" w:ascii="宋体" w:hAnsi="宋体" w:eastAsia="宋体" w:cs="宋体"/>
                <w:lang w:val="en-US" w:eastAsia="zh-CN"/>
              </w:rPr>
              <w:t xml:space="preserve">  </w:t>
            </w:r>
            <w:r>
              <w:rPr>
                <w:rFonts w:hint="eastAsia" w:ascii="宋体" w:hAnsi="宋体" w:eastAsia="宋体" w:cs="宋体"/>
              </w:rPr>
              <w:t>大力推进市场主体信息公示。严格执行《企业信息公示暂行条例》，加快实施经营异常名录制度和严</w:t>
            </w:r>
            <w:r>
              <w:rPr>
                <w:rFonts w:hint="eastAsia" w:ascii="宋体" w:hAnsi="宋体" w:eastAsia="宋体" w:cs="宋体"/>
                <w:lang w:eastAsia="zh-CN"/>
              </w:rPr>
              <w:t>重</w:t>
            </w:r>
            <w:r>
              <w:rPr>
                <w:rFonts w:hint="eastAsia" w:ascii="宋体" w:hAnsi="宋体" w:eastAsia="宋体" w:cs="宋体"/>
              </w:rPr>
              <w:t>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w:t>
            </w:r>
            <w:r>
              <w:rPr>
                <w:rFonts w:hint="eastAsia" w:ascii="宋体" w:hAnsi="宋体" w:eastAsia="宋体" w:cs="宋体"/>
                <w:lang w:val="zh-CN" w:eastAsia="zh-CN"/>
              </w:rPr>
              <w:t>“信</w:t>
            </w:r>
            <w:r>
              <w:rPr>
                <w:rFonts w:hint="eastAsia" w:ascii="宋体" w:hAnsi="宋体" w:eastAsia="宋体" w:cs="宋体"/>
              </w:rPr>
              <w:t>用中国</w:t>
            </w:r>
            <w:r>
              <w:rPr>
                <w:rFonts w:hint="eastAsia" w:ascii="宋体" w:hAnsi="宋体" w:eastAsia="宋体" w:cs="宋体"/>
                <w:lang w:val="en-US" w:eastAsia="zh-CN"/>
              </w:rPr>
              <w:t>”</w:t>
            </w:r>
            <w:r>
              <w:rPr>
                <w:rFonts w:hint="eastAsia" w:ascii="宋体" w:hAnsi="宋体" w:eastAsia="宋体" w:cs="宋体"/>
              </w:rPr>
              <w:t>网站，归集整合各地区、各部门掌握的应向社会公开的信用信息，实现信用信息一站式査询，方便社会了解市场主体信用 状况。各级政府及其部门网站</w:t>
            </w:r>
            <w:r>
              <w:rPr>
                <w:rFonts w:hint="eastAsia" w:ascii="宋体" w:hAnsi="宋体" w:eastAsia="宋体" w:cs="宋体"/>
                <w:lang w:eastAsia="zh-CN"/>
              </w:rPr>
              <w:t>要</w:t>
            </w:r>
            <w:r>
              <w:rPr>
                <w:rFonts w:hint="eastAsia" w:ascii="宋体" w:hAnsi="宋体" w:eastAsia="宋体" w:cs="宋体"/>
              </w:rPr>
              <w:t>与</w:t>
            </w:r>
            <w:r>
              <w:rPr>
                <w:rFonts w:hint="eastAsia" w:ascii="宋体" w:hAnsi="宋体" w:eastAsia="宋体" w:cs="宋体"/>
                <w:lang w:val="zh-CN" w:eastAsia="zh-CN"/>
              </w:rPr>
              <w:t>“信</w:t>
            </w:r>
            <w:r>
              <w:rPr>
                <w:rFonts w:hint="eastAsia" w:ascii="宋体" w:hAnsi="宋体" w:eastAsia="宋体" w:cs="宋体"/>
              </w:rPr>
              <w:t>用中国</w:t>
            </w:r>
            <w:r>
              <w:rPr>
                <w:rFonts w:hint="eastAsia" w:ascii="宋体" w:hAnsi="宋体" w:eastAsia="宋体" w:cs="宋体"/>
                <w:lang w:val="zh-CN" w:eastAsia="zh-CN"/>
              </w:rPr>
              <w:t>”网站</w:t>
            </w:r>
            <w:r>
              <w:rPr>
                <w:rFonts w:hint="eastAsia" w:ascii="宋体" w:hAnsi="宋体" w:eastAsia="宋体" w:cs="宋体"/>
              </w:rPr>
              <w:t>连接，并将本单位政务公开信息和相关市场主体违法违规信息在</w:t>
            </w:r>
            <w:r>
              <w:rPr>
                <w:rFonts w:hint="eastAsia" w:ascii="宋体" w:hAnsi="宋体" w:eastAsia="宋体" w:cs="宋体"/>
                <w:lang w:val="zh-CN" w:eastAsia="zh-CN"/>
              </w:rPr>
              <w:t>“信用</w:t>
            </w:r>
            <w:r>
              <w:rPr>
                <w:rFonts w:hint="eastAsia" w:ascii="宋体" w:hAnsi="宋体" w:eastAsia="宋体" w:cs="宋体"/>
              </w:rPr>
              <w:t>中国</w:t>
            </w:r>
            <w:r>
              <w:rPr>
                <w:rFonts w:hint="eastAsia" w:ascii="宋体" w:hAnsi="宋体" w:eastAsia="宋体" w:cs="宋体"/>
                <w:lang w:eastAsia="zh-CN"/>
              </w:rPr>
              <w:t>”</w:t>
            </w:r>
            <w:r>
              <w:rPr>
                <w:rFonts w:hint="eastAsia" w:ascii="宋体" w:hAnsi="宋体" w:eastAsia="宋体" w:cs="宋体"/>
              </w:rPr>
              <w:t>，网站公开。</w:t>
            </w:r>
          </w:p>
          <w:p>
            <w:pPr>
              <w:bidi w:val="0"/>
              <w:rPr>
                <w:rFonts w:hint="eastAsia" w:ascii="宋体" w:hAnsi="宋体" w:eastAsia="宋体" w:cs="宋体"/>
              </w:rPr>
            </w:pPr>
            <w:r>
              <w:rPr>
                <w:rFonts w:hint="eastAsia" w:ascii="宋体" w:hAnsi="宋体" w:eastAsia="宋体" w:cs="宋体"/>
              </w:rPr>
              <w:t>《企业信息公示暂行条例》（国务院令第654号）</w:t>
            </w:r>
          </w:p>
          <w:p>
            <w:pPr>
              <w:bidi w:val="0"/>
              <w:ind w:firstLine="480" w:firstLineChars="200"/>
              <w:rPr>
                <w:rFonts w:hint="eastAsia" w:ascii="宋体" w:hAnsi="宋体" w:eastAsia="宋体" w:cs="宋体"/>
              </w:rPr>
            </w:pPr>
            <w:r>
              <w:rPr>
                <w:rFonts w:hint="eastAsia" w:ascii="宋体" w:hAnsi="宋体" w:eastAsia="宋体" w:cs="宋体"/>
              </w:rPr>
              <w:t>第七条</w:t>
            </w:r>
            <w:r>
              <w:rPr>
                <w:rFonts w:hint="eastAsia" w:ascii="宋体" w:hAnsi="宋体" w:eastAsia="宋体" w:cs="宋体"/>
                <w:lang w:val="en-US" w:eastAsia="zh-CN"/>
              </w:rPr>
              <w:t xml:space="preserve">  </w:t>
            </w:r>
            <w:r>
              <w:rPr>
                <w:rFonts w:hint="eastAsia" w:ascii="宋体" w:hAnsi="宋体" w:eastAsia="宋体" w:cs="宋体"/>
              </w:rPr>
              <w:t>工商行政管理部门以外的其他政府部门（以下简称其他政府部门）应当公示其在履行职责过程中产生的下列企业信息：</w:t>
            </w:r>
          </w:p>
          <w:p>
            <w:pPr>
              <w:bidi w:val="0"/>
              <w:ind w:firstLine="480" w:firstLineChars="200"/>
              <w:rPr>
                <w:rFonts w:hint="eastAsia" w:ascii="宋体" w:hAnsi="宋体" w:eastAsia="宋体" w:cs="宋体"/>
              </w:rPr>
            </w:pPr>
            <w:bookmarkStart w:id="12" w:name="bookmark15"/>
            <w:r>
              <w:rPr>
                <w:rFonts w:hint="eastAsia" w:ascii="宋体" w:hAnsi="宋体" w:eastAsia="宋体" w:cs="宋体"/>
              </w:rPr>
              <w:t>（</w:t>
            </w:r>
            <w:bookmarkEnd w:id="12"/>
            <w:r>
              <w:rPr>
                <w:rFonts w:hint="eastAsia" w:ascii="宋体" w:hAnsi="宋体" w:eastAsia="宋体" w:cs="宋体"/>
              </w:rPr>
              <w:t>1）行政许可准予、变更、延续信息；</w:t>
            </w:r>
          </w:p>
          <w:p>
            <w:pPr>
              <w:bidi w:val="0"/>
              <w:ind w:firstLine="480" w:firstLineChars="200"/>
              <w:rPr>
                <w:rFonts w:hint="eastAsia" w:ascii="宋体" w:hAnsi="宋体" w:eastAsia="宋体" w:cs="宋体"/>
              </w:rPr>
            </w:pPr>
            <w:bookmarkStart w:id="13" w:name="bookmark16"/>
            <w:r>
              <w:rPr>
                <w:rFonts w:hint="eastAsia" w:ascii="宋体" w:hAnsi="宋体" w:eastAsia="宋体" w:cs="宋体"/>
              </w:rPr>
              <w:t>（</w:t>
            </w:r>
            <w:bookmarkEnd w:id="13"/>
            <w:r>
              <w:rPr>
                <w:rFonts w:hint="eastAsia" w:ascii="宋体" w:hAnsi="宋体" w:eastAsia="宋体" w:cs="宋体"/>
              </w:rPr>
              <w:t>2）行政处罚信息；</w:t>
            </w:r>
          </w:p>
          <w:p>
            <w:pPr>
              <w:bidi w:val="0"/>
              <w:ind w:firstLine="480" w:firstLineChars="200"/>
              <w:rPr>
                <w:rFonts w:hint="eastAsia" w:ascii="宋体" w:hAnsi="宋体" w:eastAsia="宋体" w:cs="宋体"/>
              </w:rPr>
            </w:pPr>
            <w:bookmarkStart w:id="14" w:name="bookmark17"/>
            <w:r>
              <w:rPr>
                <w:rFonts w:hint="eastAsia" w:ascii="宋体" w:hAnsi="宋体" w:eastAsia="宋体" w:cs="宋体"/>
              </w:rPr>
              <w:t>（</w:t>
            </w:r>
            <w:bookmarkEnd w:id="14"/>
            <w:r>
              <w:rPr>
                <w:rFonts w:hint="eastAsia" w:ascii="宋体" w:hAnsi="宋体" w:eastAsia="宋体" w:cs="宋体"/>
              </w:rPr>
              <w:t>3）其他依法应当公示的信息。</w:t>
            </w:r>
          </w:p>
          <w:p>
            <w:pPr>
              <w:bidi w:val="0"/>
              <w:ind w:firstLine="480" w:firstLineChars="200"/>
              <w:rPr>
                <w:rFonts w:hint="eastAsia" w:ascii="宋体" w:hAnsi="宋体" w:eastAsia="宋体" w:cs="宋体"/>
              </w:rPr>
            </w:pPr>
            <w:r>
              <w:rPr>
                <w:rFonts w:hint="eastAsia" w:ascii="宋体" w:hAnsi="宋体" w:eastAsia="宋体" w:cs="宋体"/>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pPr>
              <w:bidi w:val="0"/>
              <w:rPr>
                <w:rFonts w:hint="eastAsia" w:ascii="宋体" w:hAnsi="宋体" w:eastAsia="宋体" w:cs="宋体"/>
              </w:rPr>
            </w:pPr>
            <w:r>
              <w:rPr>
                <w:rFonts w:hint="eastAsia" w:ascii="宋体" w:hAnsi="宋体" w:eastAsia="宋体" w:cs="宋体"/>
              </w:rPr>
              <w:t>《中华人民共和国政府信息公开条例》（国务院令第492号）</w:t>
            </w:r>
          </w:p>
          <w:p>
            <w:pPr>
              <w:bidi w:val="0"/>
              <w:ind w:firstLine="480" w:firstLineChars="200"/>
              <w:rPr>
                <w:rFonts w:hint="eastAsia" w:ascii="宋体" w:hAnsi="宋体" w:eastAsia="宋体" w:cs="宋体"/>
              </w:rPr>
            </w:pPr>
            <w:r>
              <w:rPr>
                <w:rFonts w:hint="eastAsia" w:ascii="宋体" w:hAnsi="宋体" w:eastAsia="宋体" w:cs="宋体"/>
              </w:rPr>
              <w:t>第九条</w:t>
            </w:r>
            <w:r>
              <w:rPr>
                <w:rFonts w:hint="eastAsia" w:ascii="宋体" w:hAnsi="宋体" w:eastAsia="宋体" w:cs="宋体"/>
                <w:lang w:val="en-US" w:eastAsia="zh-CN"/>
              </w:rPr>
              <w:t xml:space="preserve">  </w:t>
            </w:r>
            <w:r>
              <w:rPr>
                <w:rFonts w:hint="eastAsia" w:ascii="宋体" w:hAnsi="宋体" w:eastAsia="宋体" w:cs="宋体"/>
              </w:rPr>
              <w:t>行政机关对符合下列基本要求之一的政府信息应当主动公开：</w:t>
            </w:r>
          </w:p>
          <w:p>
            <w:pPr>
              <w:bidi w:val="0"/>
              <w:ind w:firstLine="480" w:firstLineChars="200"/>
              <w:rPr>
                <w:rFonts w:hint="eastAsia" w:ascii="宋体" w:hAnsi="宋体" w:eastAsia="宋体" w:cs="宋体"/>
              </w:rPr>
            </w:pPr>
            <w:bookmarkStart w:id="15" w:name="bookmark18"/>
            <w:r>
              <w:rPr>
                <w:rFonts w:hint="eastAsia" w:ascii="宋体" w:hAnsi="宋体" w:eastAsia="宋体" w:cs="宋体"/>
              </w:rPr>
              <w:t>（</w:t>
            </w:r>
            <w:bookmarkEnd w:id="15"/>
            <w:r>
              <w:rPr>
                <w:rFonts w:hint="eastAsia" w:ascii="宋体" w:hAnsi="宋体" w:eastAsia="宋体" w:cs="宋体"/>
              </w:rPr>
              <w:t>1）涉及公民、法人或者其他组织切身利益的；</w:t>
            </w:r>
            <w:bookmarkStart w:id="16" w:name="bookmark19"/>
          </w:p>
          <w:p>
            <w:pPr>
              <w:bidi w:val="0"/>
              <w:ind w:firstLine="480" w:firstLineChars="200"/>
              <w:rPr>
                <w:rFonts w:hint="eastAsia" w:ascii="宋体" w:hAnsi="宋体" w:eastAsia="宋体" w:cs="宋体"/>
                <w:lang w:eastAsia="zh-CN"/>
              </w:rPr>
            </w:pPr>
            <w:r>
              <w:rPr>
                <w:rFonts w:hint="eastAsia" w:ascii="宋体" w:hAnsi="宋体" w:eastAsia="宋体" w:cs="宋体"/>
              </w:rPr>
              <w:t>（</w:t>
            </w:r>
            <w:bookmarkEnd w:id="16"/>
            <w:r>
              <w:rPr>
                <w:rFonts w:hint="eastAsia" w:ascii="宋体" w:hAnsi="宋体" w:eastAsia="宋体" w:cs="宋体"/>
              </w:rPr>
              <w:t>2）需要社会公众广泛知晓或者参与的</w:t>
            </w:r>
            <w:r>
              <w:rPr>
                <w:rFonts w:hint="eastAsia" w:ascii="宋体" w:hAnsi="宋体" w:eastAsia="宋体" w:cs="宋体"/>
                <w:lang w:eastAsia="zh-CN"/>
              </w:rPr>
              <w:t>；</w:t>
            </w:r>
          </w:p>
          <w:p>
            <w:pPr>
              <w:pStyle w:val="11"/>
              <w:keepNext w:val="0"/>
              <w:keepLines w:val="0"/>
              <w:widowControl w:val="0"/>
              <w:shd w:val="clear" w:color="auto" w:fill="auto"/>
              <w:bidi w:val="0"/>
              <w:spacing w:before="0" w:after="0" w:line="317" w:lineRule="exact"/>
              <w:ind w:left="0" w:right="0" w:firstLine="480" w:firstLineChars="200"/>
              <w:jc w:val="left"/>
              <w:rPr>
                <w:sz w:val="24"/>
                <w:szCs w:val="24"/>
              </w:rPr>
            </w:pP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eastAsia="宋体"/>
                <w:sz w:val="24"/>
                <w:szCs w:val="24"/>
                <w:lang w:eastAsia="zh-CN"/>
              </w:rPr>
            </w:pPr>
            <w:r>
              <w:rPr>
                <w:rFonts w:hint="eastAsia"/>
                <w:color w:val="000000"/>
                <w:spacing w:val="0"/>
                <w:w w:val="100"/>
                <w:position w:val="0"/>
                <w:sz w:val="24"/>
                <w:szCs w:val="24"/>
                <w:lang w:eastAsia="zh-CN"/>
              </w:rPr>
              <w:t>国家发展改革委</w:t>
            </w:r>
            <w:r>
              <w:rPr>
                <w:color w:val="000000"/>
                <w:spacing w:val="0"/>
                <w:w w:val="100"/>
                <w:position w:val="0"/>
                <w:sz w:val="24"/>
                <w:szCs w:val="24"/>
              </w:rPr>
              <w:t>、</w:t>
            </w:r>
            <w:r>
              <w:rPr>
                <w:rFonts w:hint="eastAsia"/>
                <w:color w:val="000000"/>
                <w:spacing w:val="0"/>
                <w:w w:val="100"/>
                <w:position w:val="0"/>
                <w:sz w:val="24"/>
                <w:szCs w:val="24"/>
                <w:lang w:eastAsia="zh-CN"/>
              </w:rPr>
              <w:t>工商总局</w:t>
            </w:r>
            <w:r>
              <w:rPr>
                <w:color w:val="000000"/>
                <w:spacing w:val="0"/>
                <w:w w:val="100"/>
                <w:position w:val="0"/>
                <w:sz w:val="24"/>
                <w:szCs w:val="24"/>
              </w:rPr>
              <w:t>、中</w:t>
            </w:r>
            <w:r>
              <w:rPr>
                <w:rFonts w:hint="eastAsia"/>
                <w:color w:val="000000"/>
                <w:spacing w:val="0"/>
                <w:w w:val="100"/>
                <w:position w:val="0"/>
                <w:sz w:val="24"/>
                <w:szCs w:val="24"/>
                <w:lang w:eastAsia="zh-CN"/>
              </w:rPr>
              <w:t>央网信办</w:t>
            </w:r>
          </w:p>
        </w:tc>
      </w:tr>
      <w:tr>
        <w:tblPrEx>
          <w:tblCellMar>
            <w:top w:w="0" w:type="dxa"/>
            <w:left w:w="10" w:type="dxa"/>
            <w:bottom w:w="0" w:type="dxa"/>
            <w:right w:w="10" w:type="dxa"/>
          </w:tblCellMar>
        </w:tblPrEx>
        <w:trPr>
          <w:trHeight w:val="587"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shd w:val="clear" w:color="auto" w:fill="auto"/>
              <w:bidi w:val="0"/>
              <w:ind w:firstLine="480" w:firstLineChars="200"/>
              <w:rPr>
                <w:rFonts w:hint="eastAsia" w:ascii="宋体" w:hAnsi="宋体" w:eastAsia="宋体" w:cs="宋体"/>
              </w:rPr>
            </w:pPr>
            <w:bookmarkStart w:id="17" w:name="bookmark20"/>
            <w:r>
              <w:rPr>
                <w:rFonts w:hint="eastAsia" w:ascii="宋体" w:hAnsi="宋体" w:eastAsia="宋体" w:cs="宋体"/>
              </w:rPr>
              <w:t>（</w:t>
            </w:r>
            <w:bookmarkEnd w:id="17"/>
            <w:r>
              <w:rPr>
                <w:rFonts w:hint="eastAsia" w:ascii="宋体" w:hAnsi="宋体" w:eastAsia="宋体" w:cs="宋体"/>
              </w:rPr>
              <w:t>3）反映本行政机关机构设置、职能、办事程序等情况的；</w:t>
            </w:r>
          </w:p>
          <w:p>
            <w:pPr>
              <w:shd w:val="clear" w:color="auto" w:fill="auto"/>
              <w:bidi w:val="0"/>
              <w:ind w:firstLine="480" w:firstLineChars="200"/>
              <w:rPr>
                <w:rFonts w:hint="eastAsia" w:eastAsia="宋体"/>
                <w:sz w:val="24"/>
                <w:szCs w:val="24"/>
                <w:lang w:eastAsia="zh-CN"/>
              </w:rPr>
            </w:pPr>
            <w:bookmarkStart w:id="18" w:name="bookmark21"/>
            <w:r>
              <w:rPr>
                <w:rFonts w:hint="eastAsia" w:ascii="宋体" w:hAnsi="宋体" w:eastAsia="宋体" w:cs="宋体"/>
              </w:rPr>
              <w:t>（</w:t>
            </w:r>
            <w:bookmarkEnd w:id="18"/>
            <w:r>
              <w:rPr>
                <w:rFonts w:hint="eastAsia" w:ascii="宋体" w:hAnsi="宋体" w:eastAsia="宋体" w:cs="宋体"/>
              </w:rPr>
              <w:t>4）其他依照法律、法规和国家有关规定应当主动公开的</w:t>
            </w:r>
            <w:r>
              <w:rPr>
                <w:rFonts w:hint="eastAsia" w:ascii="宋体" w:hAnsi="宋体" w:eastAsia="宋体" w:cs="宋体"/>
                <w:lang w:eastAsia="zh-CN"/>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6904"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r>
              <w:rPr>
                <w:sz w:val="24"/>
                <w:szCs w:val="24"/>
              </w:rPr>
              <w:t>（二）作为重点监管对象，加大劳动保障监察检查频次</w:t>
            </w:r>
            <w:r>
              <w:rPr>
                <w:rFonts w:hint="eastAsia"/>
                <w:sz w:val="24"/>
                <w:szCs w:val="24"/>
                <w:lang w:eastAsia="zh-CN"/>
              </w:rPr>
              <w:t>。</w:t>
            </w: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r>
              <w:rPr>
                <w:rFonts w:hint="eastAsia" w:ascii="宋体" w:hAnsi="宋体" w:eastAsia="宋体" w:cs="宋体"/>
              </w:rPr>
              <w:t>《国务院关于促进市场公平竞争维护市场正常秩序的若干意见》（国发（2014）20号）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hint="eastAsia" w:ascii="宋体" w:hAnsi="宋体" w:eastAsia="宋体" w:cs="宋体"/>
                <w:lang w:val="zh-CN" w:eastAsia="zh-CN"/>
              </w:rPr>
              <w:t>“黑</w:t>
            </w:r>
            <w:r>
              <w:rPr>
                <w:rFonts w:hint="eastAsia" w:ascii="宋体" w:hAnsi="宋体" w:eastAsia="宋体" w:cs="宋体"/>
              </w:rPr>
              <w:t>名单”制度。（工商总局牵头负责）对守信主体予以支持和激励，对失信主体在经营、投融资、取得政府供应土地、进</w:t>
            </w:r>
            <w:r>
              <w:rPr>
                <w:rFonts w:hint="eastAsia" w:ascii="宋体" w:hAnsi="宋体" w:eastAsia="宋体" w:cs="宋体"/>
                <w:lang w:eastAsia="zh-CN"/>
              </w:rPr>
              <w:t>出</w:t>
            </w:r>
            <w:r>
              <w:rPr>
                <w:rFonts w:hint="eastAsia" w:ascii="宋体" w:hAnsi="宋体" w:eastAsia="宋体" w:cs="宋体"/>
              </w:rPr>
              <w:t>口、出入境、注册新公司、工程招投标、政府采购、获得荣誉、安全许可、生产许可、从业任职资格、资质审核等方面依法予以限制或禁止，对严重违法失信主体实行市场禁入制度。（各相关市场监管部门按职责分工分别负责）</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r>
              <w:rPr>
                <w:rFonts w:hint="eastAsia" w:ascii="宋体" w:hAnsi="宋体" w:eastAsia="宋体" w:cs="宋体"/>
              </w:rPr>
              <w:t>《国务院关于印发社会信用体系建设规划纲要</w:t>
            </w:r>
            <w:r>
              <w:rPr>
                <w:rFonts w:hint="eastAsia" w:ascii="宋体" w:hAnsi="宋体" w:eastAsia="宋体" w:cs="宋体"/>
                <w:lang w:val="en-US" w:eastAsia="en-US"/>
              </w:rPr>
              <w:t>（2014-2020</w:t>
            </w:r>
            <w:r>
              <w:rPr>
                <w:rFonts w:hint="eastAsia" w:ascii="宋体" w:hAnsi="宋体" w:eastAsia="宋体" w:cs="宋体"/>
              </w:rPr>
              <w:t>年）的通知》（国发（2014）21号）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劳动用工领域信用建设。进一步落实和完善企业劳动保障守法诚信制度，制定重大劳动保障违法行为社会公示办法。建立用人单位拖欠工资违法行为公示制度，健全用人单位劳动保障诚信等级评价办法。规范用工行为，加强对</w:t>
            </w:r>
            <w:r>
              <w:rPr>
                <w:rFonts w:hint="eastAsia" w:ascii="宋体" w:hAnsi="宋体" w:eastAsia="宋体" w:cs="宋体"/>
                <w:lang w:eastAsia="zh-CN"/>
              </w:rPr>
              <w:t>劳</w:t>
            </w:r>
            <w:r>
              <w:rPr>
                <w:rFonts w:hint="eastAsia" w:ascii="宋体" w:hAnsi="宋体" w:eastAsia="宋体" w:cs="宋体"/>
              </w:rPr>
              <w:t>动合同履行和仲裁的管理，推动企业积极开展和谐劳动关系创建活动。加强劳动保障监督执法，加大对违法行为的打击力度。加强人力资源市场诚信建设，规范职业中介行为，打击各种黑中介、黑用工等违法失信行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r>
              <w:rPr>
                <w:rFonts w:hint="eastAsia" w:ascii="宋体" w:hAnsi="宋体" w:eastAsia="宋体" w:cs="宋体"/>
              </w:rPr>
              <w:t>《企业劳动保障守法诚信等级评价办法》（人社部规（2016） 1号）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第十条</w:t>
            </w:r>
            <w:r>
              <w:rPr>
                <w:rFonts w:hint="eastAsia" w:ascii="宋体" w:hAnsi="宋体" w:eastAsia="宋体" w:cs="宋体"/>
                <w:lang w:val="en-US" w:eastAsia="zh-CN"/>
              </w:rPr>
              <w:t xml:space="preserve">  </w:t>
            </w:r>
            <w:r>
              <w:rPr>
                <w:rFonts w:hint="eastAsia" w:ascii="宋体" w:hAnsi="宋体" w:eastAsia="宋体" w:cs="宋体"/>
              </w:rPr>
              <w:t>人力资源社会保障行政部门根据企业劳动保障守法态信等级评价情况，对劳动保障监察管辖范围内的企业实行分类监管。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第十一条</w:t>
            </w:r>
            <w:r>
              <w:rPr>
                <w:rFonts w:hint="eastAsia" w:ascii="宋体" w:hAnsi="宋体" w:eastAsia="宋体" w:cs="宋体"/>
                <w:lang w:val="en-US" w:eastAsia="zh-CN"/>
              </w:rPr>
              <w:t xml:space="preserve">  </w:t>
            </w:r>
            <w:r>
              <w:rPr>
                <w:rFonts w:hint="eastAsia" w:ascii="宋体" w:hAnsi="宋体" w:eastAsia="宋体" w:cs="宋体"/>
              </w:rPr>
              <w:t>对</w:t>
            </w:r>
            <w:r>
              <w:rPr>
                <w:rFonts w:hint="eastAsia" w:ascii="宋体" w:hAnsi="宋体" w:eastAsia="宋体" w:cs="宋体"/>
                <w:lang w:eastAsia="zh-CN"/>
              </w:rPr>
              <w:t>于</w:t>
            </w:r>
            <w:r>
              <w:rPr>
                <w:rFonts w:hint="eastAsia" w:ascii="宋体" w:hAnsi="宋体" w:eastAsia="宋体" w:cs="宋体"/>
              </w:rPr>
              <w:t>被评为</w:t>
            </w:r>
            <w:r>
              <w:rPr>
                <w:rFonts w:hint="eastAsia" w:ascii="宋体" w:hAnsi="宋体" w:eastAsia="宋体" w:cs="宋体"/>
                <w:lang w:val="en-US" w:eastAsia="en-US"/>
              </w:rPr>
              <w:t>C</w:t>
            </w:r>
            <w:r>
              <w:rPr>
                <w:rFonts w:hint="eastAsia" w:ascii="宋体" w:hAnsi="宋体" w:eastAsia="宋体" w:cs="宋体"/>
              </w:rPr>
              <w:t>级的企业。人力资源社会保障行政部门应对其主要负责人、直接责任人进行约谈，敦促其遵守劳动保障法律、法规和规章。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rPr>
              <w:t>《重大劳动保障适法行为社会公布办法》（人力资源社会保障部令第29号）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480" w:firstLineChars="200"/>
              <w:jc w:val="left"/>
              <w:textAlignment w:val="auto"/>
              <w:rPr>
                <w:rFonts w:hint="eastAsia" w:eastAsia="宋体"/>
                <w:sz w:val="24"/>
                <w:szCs w:val="24"/>
                <w:lang w:eastAsia="zh-CN"/>
              </w:rPr>
            </w:pPr>
            <w:r>
              <w:rPr>
                <w:rFonts w:hint="eastAsia" w:ascii="宋体" w:hAnsi="宋体" w:eastAsia="宋体" w:cs="宋体"/>
                <w:color w:val="000000"/>
                <w:spacing w:val="0"/>
                <w:w w:val="100"/>
                <w:position w:val="0"/>
                <w:sz w:val="24"/>
                <w:szCs w:val="24"/>
                <w:u w:val="none"/>
                <w:shd w:val="clear" w:color="auto" w:fill="auto"/>
                <w:lang w:val="en-US" w:eastAsia="en-US" w:bidi="en-US"/>
              </w:rPr>
              <w:t>第十条</w:t>
            </w:r>
            <w:r>
              <w:rPr>
                <w:rFonts w:hint="eastAsia" w:cs="宋体"/>
                <w:color w:val="000000"/>
                <w:spacing w:val="0"/>
                <w:w w:val="100"/>
                <w:position w:val="0"/>
                <w:sz w:val="24"/>
                <w:szCs w:val="24"/>
                <w:u w:val="none"/>
                <w:shd w:val="clear" w:color="auto" w:fill="auto"/>
                <w:lang w:val="en-US" w:eastAsia="zh-CN" w:bidi="en-US"/>
              </w:rPr>
              <w:t xml:space="preserve">  </w:t>
            </w:r>
            <w:r>
              <w:rPr>
                <w:rFonts w:hint="eastAsia" w:ascii="宋体" w:hAnsi="宋体" w:eastAsia="宋体" w:cs="宋体"/>
                <w:color w:val="000000"/>
                <w:spacing w:val="0"/>
                <w:w w:val="100"/>
                <w:position w:val="0"/>
                <w:sz w:val="24"/>
                <w:szCs w:val="24"/>
                <w:u w:val="none"/>
                <w:shd w:val="clear" w:color="auto" w:fill="auto"/>
                <w:lang w:val="en-US" w:eastAsia="en-US" w:bidi="en-US"/>
              </w:rPr>
              <w:t>人力资源社会保障行政部门应当将重大劳</w:t>
            </w:r>
            <w:bookmarkStart w:id="64" w:name="_GoBack"/>
            <w:bookmarkEnd w:id="64"/>
            <w:r>
              <w:rPr>
                <w:rFonts w:hint="eastAsia" w:ascii="宋体" w:hAnsi="宋体" w:eastAsia="宋体" w:cs="宋体"/>
                <w:color w:val="000000"/>
                <w:spacing w:val="0"/>
                <w:w w:val="100"/>
                <w:position w:val="0"/>
                <w:sz w:val="24"/>
                <w:szCs w:val="24"/>
                <w:u w:val="none"/>
                <w:shd w:val="clear" w:color="auto" w:fill="auto"/>
                <w:lang w:val="en-US" w:eastAsia="en-US" w:bidi="en-US"/>
              </w:rPr>
              <w:t>动保障违法行为及其社会公布情况记入用人单位劳动保障守 法诚信档案，纳入人力资源社会保障信用体系，并与其他部门和社会组织依法依规实施信息共享和联合惩戒</w:t>
            </w:r>
            <w:r>
              <w:rPr>
                <w:rFonts w:hint="eastAsia" w:cs="宋体"/>
                <w:color w:val="000000"/>
                <w:spacing w:val="0"/>
                <w:w w:val="100"/>
                <w:position w:val="0"/>
                <w:sz w:val="24"/>
                <w:szCs w:val="24"/>
                <w:u w:val="none"/>
                <w:shd w:val="clear" w:color="auto" w:fill="auto"/>
                <w:lang w:val="en-US" w:eastAsia="zh-CN" w:bidi="en-US"/>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人力资源社会保障部</w:t>
            </w:r>
          </w:p>
        </w:tc>
      </w:tr>
      <w:tr>
        <w:tblPrEx>
          <w:tblCellMar>
            <w:top w:w="0" w:type="dxa"/>
            <w:left w:w="10" w:type="dxa"/>
            <w:bottom w:w="0" w:type="dxa"/>
            <w:right w:w="10" w:type="dxa"/>
          </w:tblCellMar>
        </w:tblPrEx>
        <w:trPr>
          <w:trHeight w:val="1580"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rPr>
            </w:pPr>
            <w:r>
              <w:rPr>
                <w:rFonts w:hint="eastAsia" w:ascii="宋体" w:hAnsi="宋体" w:eastAsia="宋体" w:cs="宋体"/>
              </w:rPr>
              <w:t>（三）依法暂停审批其新的重大项目申报，核减、停止拨付或收回政府补贴资金。</w:t>
            </w:r>
          </w:p>
          <w:p>
            <w:pPr>
              <w:pStyle w:val="11"/>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《国家</w:t>
            </w:r>
            <w:r>
              <w:rPr>
                <w:rFonts w:hint="eastAsia" w:ascii="宋体" w:hAnsi="宋体" w:eastAsia="宋体" w:cs="宋体"/>
                <w:lang w:eastAsia="zh-CN"/>
              </w:rPr>
              <w:t>高</w:t>
            </w:r>
            <w:r>
              <w:rPr>
                <w:rFonts w:hint="eastAsia" w:ascii="宋体" w:hAnsi="宋体" w:eastAsia="宋体" w:cs="宋体"/>
              </w:rPr>
              <w:t>技术产业发展项目管理暂行办法》（国家发展改革委令第43号）</w:t>
            </w:r>
          </w:p>
          <w:p>
            <w:pPr>
              <w:shd w:val="clear" w:color="auto" w:fill="auto"/>
              <w:bidi w:val="0"/>
              <w:ind w:firstLine="480" w:firstLineChars="200"/>
              <w:rPr>
                <w:rFonts w:hint="eastAsia" w:ascii="宋体" w:hAnsi="宋体" w:eastAsia="宋体" w:cs="宋体"/>
              </w:rPr>
            </w:pPr>
            <w:r>
              <w:rPr>
                <w:rFonts w:hint="eastAsia" w:ascii="宋体" w:hAnsi="宋体" w:eastAsia="宋体" w:cs="宋体"/>
              </w:rPr>
              <w:t>第三十九条</w:t>
            </w:r>
            <w:r>
              <w:rPr>
                <w:rFonts w:hint="eastAsia" w:ascii="宋体" w:hAnsi="宋体" w:eastAsia="宋体" w:cs="宋体"/>
                <w:lang w:val="en-US" w:eastAsia="zh-CN"/>
              </w:rPr>
              <w:t xml:space="preserve">  </w:t>
            </w:r>
            <w:r>
              <w:rPr>
                <w:rFonts w:hint="eastAsia" w:ascii="宋体" w:hAnsi="宋体" w:eastAsia="宋体" w:cs="宋体"/>
              </w:rPr>
              <w:t>项目单位有</w:t>
            </w:r>
            <w:r>
              <w:rPr>
                <w:rFonts w:hint="eastAsia" w:ascii="宋体" w:hAnsi="宋体" w:eastAsia="宋体" w:cs="宋体"/>
                <w:lang w:eastAsia="zh-CN"/>
              </w:rPr>
              <w:t>下</w:t>
            </w:r>
            <w:r>
              <w:rPr>
                <w:rFonts w:hint="eastAsia" w:ascii="宋体" w:hAnsi="宋体" w:eastAsia="宋体" w:cs="宋体"/>
              </w:rPr>
              <w:t>列行为之一的，国家发展改革委可以责令其限期整改，核减、停止拨付或收回国家补贴资金，并可视情节轻重提请或移交有关机关依法追究有关责任人的行政或法律责任：</w:t>
            </w:r>
          </w:p>
          <w:p>
            <w:pPr>
              <w:shd w:val="clear" w:color="auto" w:fill="auto"/>
              <w:bidi w:val="0"/>
              <w:ind w:firstLine="480" w:firstLineChars="200"/>
              <w:rPr>
                <w:rFonts w:hint="eastAsia" w:eastAsia="宋体"/>
                <w:sz w:val="24"/>
                <w:szCs w:val="24"/>
                <w:lang w:eastAsia="zh-CN"/>
              </w:rPr>
            </w:pPr>
            <w:r>
              <w:rPr>
                <w:rFonts w:hint="eastAsia" w:ascii="宋体" w:hAnsi="宋体" w:eastAsia="宋体" w:cs="宋体"/>
                <w:lang w:val="en-US" w:eastAsia="en-US"/>
              </w:rPr>
              <w:t>（</w:t>
            </w:r>
            <w:r>
              <w:rPr>
                <w:rFonts w:hint="eastAsia" w:ascii="宋体" w:hAnsi="宋体" w:eastAsia="宋体" w:cs="宋体"/>
                <w:lang w:val="en-US" w:eastAsia="zh-CN"/>
              </w:rPr>
              <w:t>一</w:t>
            </w:r>
            <w:r>
              <w:rPr>
                <w:rFonts w:hint="eastAsia" w:ascii="宋体" w:hAnsi="宋体" w:eastAsia="宋体" w:cs="宋体"/>
                <w:lang w:val="en-US" w:eastAsia="en-US"/>
              </w:rPr>
              <w:t>）</w:t>
            </w:r>
            <w:r>
              <w:rPr>
                <w:rFonts w:hint="eastAsia" w:ascii="宋体" w:hAnsi="宋体" w:eastAsia="宋体" w:cs="宋体"/>
              </w:rPr>
              <w:t>提供虚假情况，骗取国家补贴资金的</w:t>
            </w:r>
            <w:r>
              <w:rPr>
                <w:rFonts w:hint="eastAsia" w:ascii="宋体" w:hAnsi="宋体" w:eastAsia="宋体" w:cs="宋体"/>
                <w:lang w:eastAsia="zh-CN"/>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国家发展改革委等有关单位</w:t>
            </w:r>
          </w:p>
        </w:tc>
      </w:tr>
      <w:tr>
        <w:tblPrEx>
          <w:tblCellMar>
            <w:top w:w="0" w:type="dxa"/>
            <w:left w:w="10" w:type="dxa"/>
            <w:bottom w:w="0" w:type="dxa"/>
            <w:right w:w="10" w:type="dxa"/>
          </w:tblCellMar>
        </w:tblPrEx>
        <w:trPr>
          <w:trHeight w:val="1277"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转移、侵占或者挪用国家补贴资金的；</w:t>
            </w:r>
          </w:p>
          <w:p>
            <w:pPr>
              <w:bidi w:val="0"/>
              <w:ind w:firstLine="480" w:firstLineChars="200"/>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擅自改变项目总体目标和主要建设内容的；</w:t>
            </w:r>
          </w:p>
          <w:p>
            <w:pPr>
              <w:shd w:val="clear" w:color="auto" w:fill="auto"/>
              <w:bidi w:val="0"/>
              <w:ind w:firstLine="480" w:firstLineChars="200"/>
              <w:rPr>
                <w:rFonts w:hint="eastAsia" w:ascii="宋体" w:hAnsi="宋体" w:eastAsia="宋体" w:cs="宋体"/>
                <w:lang w:eastAsia="zh-CN"/>
              </w:rPr>
            </w:pPr>
            <w:r>
              <w:rPr>
                <w:rFonts w:hint="eastAsia" w:ascii="宋体" w:hAnsi="宋体" w:eastAsia="宋体" w:cs="宋体"/>
                <w:lang w:eastAsia="zh-CN"/>
              </w:rPr>
              <w:t>（四）</w:t>
            </w:r>
            <w:r>
              <w:rPr>
                <w:rFonts w:hint="eastAsia" w:ascii="宋体" w:hAnsi="宋体" w:eastAsia="宋体" w:cs="宋体"/>
              </w:rPr>
              <w:t>无违规行为，但无正当理由未按要求完成项目总体目标延期两年未</w:t>
            </w:r>
            <w:r>
              <w:rPr>
                <w:rFonts w:hint="eastAsia" w:ascii="宋体" w:hAnsi="宋体" w:eastAsia="宋体" w:cs="宋体"/>
                <w:lang w:eastAsia="zh-CN"/>
              </w:rPr>
              <w:t>验</w:t>
            </w:r>
            <w:r>
              <w:rPr>
                <w:rFonts w:hint="eastAsia" w:ascii="宋体" w:hAnsi="宋体" w:eastAsia="宋体" w:cs="宋体"/>
              </w:rPr>
              <w:t>收的</w:t>
            </w:r>
            <w:r>
              <w:rPr>
                <w:rFonts w:hint="eastAsia" w:ascii="宋体" w:hAnsi="宋体" w:eastAsia="宋体" w:cs="宋体"/>
                <w:lang w:eastAsia="zh-CN"/>
              </w:rPr>
              <w:t>；</w:t>
            </w:r>
          </w:p>
          <w:p>
            <w:pPr>
              <w:shd w:val="clear" w:color="auto" w:fill="auto"/>
              <w:bidi w:val="0"/>
              <w:ind w:firstLine="480" w:firstLineChars="200"/>
              <w:rPr>
                <w:rFonts w:hint="eastAsia" w:ascii="宋体" w:hAnsi="宋体" w:eastAsia="宋体" w:cs="宋体"/>
                <w:lang w:val="en-US" w:eastAsia="zh-CN"/>
              </w:rPr>
            </w:pPr>
            <w:r>
              <w:rPr>
                <w:rFonts w:hint="eastAsia" w:ascii="宋体" w:hAnsi="宋体" w:eastAsia="宋体" w:cs="宋体"/>
                <w:lang w:eastAsia="zh-CN"/>
              </w:rPr>
              <w:t>（五）</w:t>
            </w:r>
            <w:r>
              <w:rPr>
                <w:rFonts w:hint="eastAsia" w:ascii="宋体" w:hAnsi="宋体" w:eastAsia="宋体" w:cs="宋体"/>
              </w:rPr>
              <w:t>其他违反国家法律法规和本办法规定的行为</w:t>
            </w:r>
            <w:r>
              <w:rPr>
                <w:rFonts w:hint="eastAsia" w:ascii="宋体" w:hAnsi="宋体" w:eastAsia="宋体" w:cs="宋体"/>
                <w:lang w:eastAsia="zh-CN"/>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763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r>
              <w:rPr>
                <w:rFonts w:hint="eastAsia" w:ascii="宋体" w:hAnsi="宋体" w:eastAsia="宋体" w:cs="宋体"/>
                <w:sz w:val="24"/>
                <w:szCs w:val="24"/>
              </w:rPr>
              <w:t>（四）依法限制参与工程建设项目招投标活动</w:t>
            </w:r>
            <w:r>
              <w:rPr>
                <w:rFonts w:hint="eastAsia" w:cs="宋体"/>
                <w:sz w:val="24"/>
                <w:szCs w:val="24"/>
                <w:lang w:eastAsia="zh-CN"/>
              </w:rPr>
              <w:t>。</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《工程建设项目施工招标投标办法》（国家发展计划委员会令第30号）</w:t>
            </w:r>
          </w:p>
          <w:p>
            <w:pPr>
              <w:bidi w:val="0"/>
              <w:ind w:firstLine="480" w:firstLineChars="200"/>
              <w:rPr>
                <w:rFonts w:hint="eastAsia" w:ascii="宋体" w:hAnsi="宋体" w:eastAsia="宋体" w:cs="宋体"/>
              </w:rPr>
            </w:pPr>
            <w:r>
              <w:rPr>
                <w:rFonts w:hint="eastAsia" w:ascii="宋体" w:hAnsi="宋体" w:eastAsia="宋体" w:cs="宋体"/>
              </w:rPr>
              <w:t>第二十条</w:t>
            </w:r>
            <w:r>
              <w:rPr>
                <w:rFonts w:hint="eastAsia" w:ascii="宋体" w:hAnsi="宋体" w:eastAsia="宋体" w:cs="宋体"/>
                <w:lang w:val="en-US" w:eastAsia="zh-CN"/>
              </w:rPr>
              <w:t xml:space="preserve">  </w:t>
            </w:r>
            <w:r>
              <w:rPr>
                <w:rFonts w:hint="eastAsia" w:ascii="宋体" w:hAnsi="宋体" w:eastAsia="宋体" w:cs="宋体"/>
              </w:rPr>
              <w:t>资格审查应主要审査潜在投标人或者投标人是否符合下列条件：</w:t>
            </w:r>
          </w:p>
          <w:p>
            <w:pPr>
              <w:bidi w:val="0"/>
              <w:ind w:firstLine="480" w:firstLineChars="200"/>
              <w:rPr>
                <w:rFonts w:hint="eastAsia" w:ascii="宋体" w:hAnsi="宋体" w:eastAsia="宋体" w:cs="宋体"/>
              </w:rPr>
            </w:pPr>
            <w:r>
              <w:rPr>
                <w:rFonts w:hint="eastAsia" w:ascii="宋体" w:hAnsi="宋体" w:eastAsia="宋体" w:cs="宋体"/>
                <w:lang w:val="en-US" w:eastAsia="en-US"/>
              </w:rPr>
              <w:t>（</w:t>
            </w:r>
            <w:r>
              <w:rPr>
                <w:rFonts w:hint="eastAsia" w:ascii="宋体" w:hAnsi="宋体" w:eastAsia="宋体" w:cs="宋体"/>
                <w:lang w:val="en-US" w:eastAsia="zh-CN"/>
              </w:rPr>
              <w:t>一</w:t>
            </w:r>
            <w:r>
              <w:rPr>
                <w:rFonts w:hint="eastAsia" w:ascii="宋体" w:hAnsi="宋体" w:eastAsia="宋体" w:cs="宋体"/>
                <w:lang w:val="en-US" w:eastAsia="en-US"/>
              </w:rPr>
              <w:t>）</w:t>
            </w:r>
            <w:r>
              <w:rPr>
                <w:rFonts w:hint="eastAsia" w:ascii="宋体" w:hAnsi="宋体" w:eastAsia="宋体" w:cs="宋体"/>
              </w:rPr>
              <w:t>具有独立订立合同的权利；</w:t>
            </w:r>
          </w:p>
          <w:p>
            <w:pPr>
              <w:bidi w:val="0"/>
              <w:ind w:firstLine="480" w:firstLineChars="200"/>
              <w:rPr>
                <w:rFonts w:hint="eastAsia" w:ascii="宋体" w:hAnsi="宋体" w:eastAsia="宋体" w:cs="宋体"/>
              </w:rPr>
            </w:pPr>
            <w:bookmarkStart w:id="19" w:name="bookmark25"/>
            <w:r>
              <w:rPr>
                <w:rFonts w:hint="eastAsia" w:ascii="宋体" w:hAnsi="宋体" w:eastAsia="宋体" w:cs="宋体"/>
              </w:rPr>
              <w:t>（</w:t>
            </w:r>
            <w:bookmarkEnd w:id="19"/>
            <w:r>
              <w:rPr>
                <w:rFonts w:hint="eastAsia" w:ascii="宋体" w:hAnsi="宋体" w:eastAsia="宋体" w:cs="宋体"/>
              </w:rPr>
              <w:t>二）具有履行合同的能力，包括专业、技术资格和能力，资金、设备和其他物质设施状况，管理能力，经验、信誉和相应的从业人员；</w:t>
            </w:r>
          </w:p>
          <w:p>
            <w:pPr>
              <w:bidi w:val="0"/>
              <w:ind w:firstLine="480" w:firstLineChars="200"/>
              <w:rPr>
                <w:rFonts w:hint="eastAsia" w:ascii="宋体" w:hAnsi="宋体" w:eastAsia="宋体" w:cs="宋体"/>
              </w:rPr>
            </w:pPr>
            <w:bookmarkStart w:id="20" w:name="bookmark26"/>
            <w:r>
              <w:rPr>
                <w:rFonts w:hint="eastAsia" w:ascii="宋体" w:hAnsi="宋体" w:eastAsia="宋体" w:cs="宋体"/>
              </w:rPr>
              <w:t>（</w:t>
            </w:r>
            <w:bookmarkEnd w:id="20"/>
            <w:r>
              <w:rPr>
                <w:rFonts w:hint="eastAsia" w:ascii="宋体" w:hAnsi="宋体" w:eastAsia="宋体" w:cs="宋体"/>
              </w:rPr>
              <w:t>三）没有处于被责令停业，投标资格被取消，财产被接管、冻结，破产状态：</w:t>
            </w:r>
          </w:p>
          <w:p>
            <w:pPr>
              <w:bidi w:val="0"/>
              <w:ind w:firstLine="480" w:firstLineChars="200"/>
              <w:rPr>
                <w:rFonts w:hint="eastAsia" w:ascii="宋体" w:hAnsi="宋体" w:eastAsia="宋体" w:cs="宋体"/>
              </w:rPr>
            </w:pPr>
            <w:bookmarkStart w:id="21" w:name="bookmark27"/>
            <w:r>
              <w:rPr>
                <w:rFonts w:hint="eastAsia" w:ascii="宋体" w:hAnsi="宋体" w:eastAsia="宋体" w:cs="宋体"/>
              </w:rPr>
              <w:t>（</w:t>
            </w:r>
            <w:bookmarkEnd w:id="21"/>
            <w:r>
              <w:rPr>
                <w:rFonts w:hint="eastAsia" w:ascii="宋体" w:hAnsi="宋体" w:eastAsia="宋体" w:cs="宋体"/>
              </w:rPr>
              <w:t>四）在最近三年内没有骗取中标和严重违约及重大工程质量问题；</w:t>
            </w:r>
          </w:p>
          <w:p>
            <w:pPr>
              <w:bidi w:val="0"/>
              <w:ind w:firstLine="480" w:firstLineChars="200"/>
              <w:rPr>
                <w:rFonts w:hint="eastAsia" w:ascii="宋体" w:hAnsi="宋体" w:eastAsia="宋体" w:cs="宋体"/>
              </w:rPr>
            </w:pPr>
            <w:bookmarkStart w:id="22" w:name="bookmark28"/>
            <w:r>
              <w:rPr>
                <w:rFonts w:hint="eastAsia" w:ascii="宋体" w:hAnsi="宋体" w:eastAsia="宋体" w:cs="宋体"/>
              </w:rPr>
              <w:t>（</w:t>
            </w:r>
            <w:bookmarkEnd w:id="22"/>
            <w:r>
              <w:rPr>
                <w:rFonts w:hint="eastAsia" w:ascii="宋体" w:hAnsi="宋体" w:eastAsia="宋体" w:cs="宋体"/>
              </w:rPr>
              <w:t>五）国家规定的其他资格条件。资格审查时，招标人不得以不合理的条件限制、排斥潜在投标人或者投标人，不得对潜在投标人或者投标人实行歧视待遇。任何单位和个人不得以行政手段或者其他不合理方式限制投标人的数量。</w:t>
            </w:r>
          </w:p>
          <w:p>
            <w:pPr>
              <w:bidi w:val="0"/>
              <w:rPr>
                <w:rFonts w:hint="eastAsia" w:ascii="宋体" w:hAnsi="宋体" w:eastAsia="宋体" w:cs="宋体"/>
              </w:rPr>
            </w:pPr>
            <w:r>
              <w:rPr>
                <w:rFonts w:hint="eastAsia" w:ascii="宋体" w:hAnsi="宋体" w:eastAsia="宋体" w:cs="宋体"/>
              </w:rPr>
              <w:t>《国务院关于印发社会信用体系建设规划纲要</w:t>
            </w:r>
            <w:r>
              <w:rPr>
                <w:rFonts w:hint="eastAsia" w:ascii="宋体" w:hAnsi="宋体" w:eastAsia="宋体" w:cs="宋体"/>
                <w:lang w:val="en-US" w:eastAsia="en-US"/>
              </w:rPr>
              <w:t>（2014—2020</w:t>
            </w:r>
            <w:r>
              <w:rPr>
                <w:rFonts w:hint="eastAsia" w:ascii="宋体" w:hAnsi="宋体" w:eastAsia="宋体" w:cs="宋体"/>
              </w:rPr>
              <w:t>年）的通知》（国发（2014）21号）</w:t>
            </w:r>
          </w:p>
          <w:p>
            <w:pPr>
              <w:bidi w:val="0"/>
              <w:ind w:firstLine="480" w:firstLineChars="200"/>
              <w:rPr>
                <w:rFonts w:hint="eastAsia" w:ascii="宋体" w:hAnsi="宋体" w:eastAsia="宋体" w:cs="宋体"/>
              </w:rPr>
            </w:pPr>
            <w:r>
              <w:rPr>
                <w:rFonts w:hint="eastAsia" w:ascii="宋体" w:hAnsi="宋体" w:eastAsia="宋体" w:cs="宋体"/>
              </w:rP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pPr>
              <w:bidi w:val="0"/>
              <w:rPr>
                <w:rFonts w:hint="eastAsia" w:ascii="宋体" w:hAnsi="宋体" w:eastAsia="宋体" w:cs="宋体"/>
              </w:rPr>
            </w:pPr>
            <w:r>
              <w:rPr>
                <w:rFonts w:hint="eastAsia" w:ascii="宋体" w:hAnsi="宋体" w:eastAsia="宋体" w:cs="宋体"/>
              </w:rPr>
              <w:t>《国务院办公厅关于运用大数据加强对市场主体服务和监管的若干意见》（国办发〔2015</w:t>
            </w:r>
            <w:r>
              <w:rPr>
                <w:rFonts w:hint="eastAsia" w:ascii="宋体" w:hAnsi="宋体" w:eastAsia="宋体" w:cs="宋体"/>
                <w:lang w:eastAsia="zh-CN"/>
              </w:rPr>
              <w:t>〕</w:t>
            </w:r>
            <w:r>
              <w:rPr>
                <w:rFonts w:hint="eastAsia" w:ascii="宋体" w:hAnsi="宋体" w:eastAsia="宋体" w:cs="宋体"/>
              </w:rPr>
              <w:t>51号）</w:t>
            </w:r>
          </w:p>
          <w:p>
            <w:pPr>
              <w:shd w:val="clear" w:color="auto" w:fill="auto"/>
              <w:bidi w:val="0"/>
              <w:ind w:firstLine="480" w:firstLineChars="200"/>
              <w:rPr>
                <w:rFonts w:hint="eastAsia" w:ascii="宋体" w:hAnsi="宋体" w:eastAsia="宋体" w:cs="宋体"/>
                <w:lang w:val="en-US" w:eastAsia="en-US"/>
              </w:rPr>
            </w:pPr>
            <w:r>
              <w:rPr>
                <w:rFonts w:hint="eastAsia" w:ascii="宋体" w:hAnsi="宋体" w:eastAsia="宋体" w:cs="宋体"/>
              </w:rPr>
              <w:t>建立健全失信联合惩戒机制。各级人民政府应将使用信用信息和信用报告嵌入行政管理和公共服务的各领域、各环节，作为必</w:t>
            </w:r>
            <w:r>
              <w:rPr>
                <w:rFonts w:hint="eastAsia" w:ascii="宋体" w:hAnsi="宋体" w:eastAsia="宋体" w:cs="宋体"/>
                <w:lang w:eastAsia="zh-CN"/>
              </w:rPr>
              <w:t>要</w:t>
            </w:r>
            <w:r>
              <w:rPr>
                <w:rFonts w:hint="eastAsia" w:ascii="宋体" w:hAnsi="宋体" w:eastAsia="宋体" w:cs="宋体"/>
              </w:rPr>
              <w:t>条件或重要参考依据。充分发挥行政、司法、金融、社会等领域的综合监管效能，在市场准入、行政审批、资质认定、享受财政补贴和税收优惠政策、企业法定代表人和负责人任职资格审査、政府</w:t>
            </w:r>
            <w:r>
              <w:rPr>
                <w:rFonts w:hint="eastAsia" w:ascii="宋体" w:hAnsi="宋体" w:eastAsia="宋体" w:cs="宋体"/>
                <w:lang w:eastAsia="zh-CN"/>
              </w:rPr>
              <w:t>采</w:t>
            </w:r>
            <w:r>
              <w:rPr>
                <w:rFonts w:hint="eastAsia" w:ascii="宋体" w:hAnsi="宋体" w:eastAsia="宋体" w:cs="宋体"/>
              </w:rPr>
              <w:t>购、政府购买服务、银行信贷、招标投标、国有土地出让、企业上市、货物通关、税收征缴、社保缴费、外汇管理、劳动用工、价格制定、电子商务、产品质量、食品药品安全、消</w:t>
            </w:r>
            <w:r>
              <w:rPr>
                <w:rFonts w:hint="eastAsia" w:ascii="宋体" w:hAnsi="宋体" w:eastAsia="宋体" w:cs="宋体"/>
                <w:lang w:eastAsia="zh-CN"/>
              </w:rPr>
              <w:t>费</w:t>
            </w:r>
            <w:r>
              <w:rPr>
                <w:rFonts w:hint="eastAsia" w:ascii="宋体" w:hAnsi="宋体" w:eastAsia="宋体" w:cs="宋体"/>
              </w:rPr>
              <w:t>品安全、知识产权、环境保护、治安管理、人口管理、出入</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国家发展改革委、工业和信息化部、住房城乡建设部、交通运输部、水利部、商务部、民航局、铁路总公司</w:t>
            </w:r>
          </w:p>
        </w:tc>
      </w:tr>
      <w:tr>
        <w:tblPrEx>
          <w:tblCellMar>
            <w:top w:w="0" w:type="dxa"/>
            <w:left w:w="10" w:type="dxa"/>
            <w:bottom w:w="0" w:type="dxa"/>
            <w:right w:w="10" w:type="dxa"/>
          </w:tblCellMar>
        </w:tblPrEx>
        <w:trPr>
          <w:trHeight w:val="328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24"/>
                <w:szCs w:val="24"/>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r>
              <w:rPr>
                <w:rFonts w:hint="eastAsia" w:ascii="宋体" w:hAnsi="宋体" w:eastAsia="宋体" w:cs="宋体"/>
              </w:rPr>
              <w:t>境管理、授予荣誉称号等方面，建立跨部门联动响应和失信约束机制，对违法失信主体依法予以限制或禁入。建立各行业</w:t>
            </w:r>
            <w:r>
              <w:rPr>
                <w:rFonts w:hint="eastAsia" w:ascii="宋体" w:hAnsi="宋体" w:eastAsia="宋体" w:cs="宋体"/>
                <w:lang w:val="zh-CN" w:eastAsia="zh-CN"/>
              </w:rPr>
              <w:t>“黑名</w:t>
            </w:r>
            <w:r>
              <w:rPr>
                <w:rFonts w:hint="eastAsia" w:ascii="宋体" w:hAnsi="宋体" w:eastAsia="宋体" w:cs="宋体"/>
              </w:rPr>
              <w:t>单”制度和市场退岀机制。推动将</w:t>
            </w:r>
            <w:r>
              <w:rPr>
                <w:rFonts w:hint="eastAsia" w:ascii="宋体" w:hAnsi="宋体" w:eastAsia="宋体" w:cs="宋体"/>
                <w:lang w:eastAsia="zh-CN"/>
              </w:rPr>
              <w:t>申</w:t>
            </w:r>
            <w:r>
              <w:rPr>
                <w:rFonts w:hint="eastAsia" w:ascii="宋体" w:hAnsi="宋体" w:eastAsia="宋体" w:cs="宋体"/>
              </w:rPr>
              <w:t>请人良好的信用状况作为各类行政许可的必备条件。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r>
              <w:rPr>
                <w:rFonts w:hint="eastAsia" w:ascii="宋体" w:hAnsi="宋体" w:eastAsia="宋体" w:cs="宋体"/>
              </w:rPr>
              <w:t>《国务院关于促进市场公平竞争维护市场正常秩序的若干意见》（国发（2014）20号）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hint="eastAsia" w:ascii="宋体" w:hAnsi="宋体" w:eastAsia="宋体" w:cs="宋体"/>
                <w:lang w:val="zh-CN" w:eastAsia="zh-CN"/>
              </w:rPr>
              <w:t>“黑</w:t>
            </w:r>
            <w:r>
              <w:rPr>
                <w:rFonts w:hint="eastAsia" w:ascii="宋体" w:hAnsi="宋体" w:eastAsia="宋体" w:cs="宋体"/>
              </w:rPr>
              <w:t>名单</w:t>
            </w:r>
            <w:r>
              <w:rPr>
                <w:rFonts w:hint="eastAsia" w:ascii="宋体" w:hAnsi="宋体" w:eastAsia="宋体" w:cs="宋体"/>
                <w:lang w:eastAsia="zh-CN"/>
              </w:rPr>
              <w:t>”</w:t>
            </w:r>
            <w:r>
              <w:rPr>
                <w:rFonts w:hint="eastAsia" w:ascii="宋体" w:hAnsi="宋体" w:eastAsia="宋体" w:cs="宋体"/>
              </w:rPr>
              <w:t>制度。（工商总局牵头负责）对守信主体予以支持和激励，对失信主体在经营、投融资、取得政府供应土地、进出口、岀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2090"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rPr>
            </w:pPr>
            <w:r>
              <w:rPr>
                <w:rFonts w:hint="eastAsia" w:ascii="宋体" w:hAnsi="宋体" w:eastAsia="宋体" w:cs="宋体"/>
              </w:rPr>
              <w:t>（五）依法限制取得或终止其基础设施和公用事业特许经营。</w:t>
            </w:r>
          </w:p>
          <w:p>
            <w:pPr>
              <w:pStyle w:val="11"/>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24"/>
                <w:szCs w:val="24"/>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r>
              <w:rPr>
                <w:rFonts w:hint="eastAsia" w:ascii="宋体" w:hAnsi="宋体" w:eastAsia="宋体" w:cs="宋体"/>
              </w:rPr>
              <w:t>《基础设施和公用事业特许经营管理办法》（国家发展改革委等六部委令第25号）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第五十三条</w:t>
            </w:r>
            <w:r>
              <w:rPr>
                <w:rFonts w:hint="eastAsia" w:ascii="宋体" w:hAnsi="宋体" w:eastAsia="宋体" w:cs="宋体"/>
                <w:lang w:val="en-US" w:eastAsia="zh-CN"/>
              </w:rPr>
              <w:t xml:space="preserve">  </w:t>
            </w:r>
            <w:r>
              <w:rPr>
                <w:rFonts w:hint="eastAsia" w:ascii="宋体" w:hAnsi="宋体" w:eastAsia="宋体" w:cs="宋体"/>
              </w:rPr>
              <w:t>特许经营者违反法律、行政法规和国家强制性标准，严重危害公共利益，或者造成重大质量、安全事故或者突发环境事件的，有关部门应当责令限期改正并依法予以行政处罚；拒不改正、情节严重的，可以终止特许经营协议；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第五十六条</w:t>
            </w:r>
            <w:r>
              <w:rPr>
                <w:rFonts w:hint="eastAsia" w:ascii="宋体" w:hAnsi="宋体" w:eastAsia="宋体" w:cs="宋体"/>
                <w:lang w:val="en-US" w:eastAsia="zh-CN"/>
              </w:rPr>
              <w:t xml:space="preserve">  </w:t>
            </w:r>
            <w:r>
              <w:rPr>
                <w:rFonts w:hint="eastAsia" w:ascii="宋体" w:hAnsi="宋体" w:eastAsia="宋体" w:cs="宋体"/>
              </w:rPr>
              <w:t>县级以上人民政府有关部门应当对特许经营者及其从业人员的不良行为建立信用记录，纳入全国统一的信用信息共享交换平台。对严重违法失信行为依法予以曝光，并会同有关部门实施联合惩戒。</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国家发展改革委、财政部、住房城乡建设部、交通运输部、水利部</w:t>
            </w:r>
          </w:p>
        </w:tc>
      </w:tr>
      <w:tr>
        <w:tblPrEx>
          <w:tblCellMar>
            <w:top w:w="0" w:type="dxa"/>
            <w:left w:w="10" w:type="dxa"/>
            <w:bottom w:w="0" w:type="dxa"/>
            <w:right w:w="10" w:type="dxa"/>
          </w:tblCellMar>
        </w:tblPrEx>
        <w:trPr>
          <w:trHeight w:val="389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rPr>
            </w:pPr>
            <w:r>
              <w:rPr>
                <w:rFonts w:hint="eastAsia" w:ascii="宋体" w:hAnsi="宋体" w:eastAsia="宋体" w:cs="宋体"/>
              </w:rPr>
              <w:t>（六）依法限制、暂停或取消政策性资金、政府补贴性资金和社会 保障资金支持。</w:t>
            </w:r>
          </w:p>
          <w:p>
            <w:pPr>
              <w:pStyle w:val="11"/>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24"/>
                <w:szCs w:val="24"/>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r>
              <w:rPr>
                <w:rFonts w:hint="eastAsia" w:ascii="宋体" w:hAnsi="宋体" w:eastAsia="宋体" w:cs="宋体"/>
              </w:rPr>
              <w:t>《国务院关于印发社会信用体系建设规划纲要</w:t>
            </w:r>
            <w:r>
              <w:rPr>
                <w:rFonts w:hint="eastAsia" w:ascii="宋体" w:hAnsi="宋体" w:eastAsia="宋体" w:cs="宋体"/>
                <w:lang w:val="en-US" w:eastAsia="en-US"/>
              </w:rPr>
              <w:t>（2014-2020</w:t>
            </w:r>
            <w:r>
              <w:rPr>
                <w:rFonts w:hint="eastAsia" w:ascii="宋体" w:hAnsi="宋体" w:eastAsia="宋体" w:cs="宋体"/>
              </w:rPr>
              <w:t>年）的通知》（国发（2014）21号）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中请政府资金支持等领域，率先使用信用信息和信用产品，培育信用服务市场发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r>
              <w:rPr>
                <w:rFonts w:hint="eastAsia" w:ascii="宋体" w:hAnsi="宋体" w:eastAsia="宋体" w:cs="宋体"/>
              </w:rPr>
              <w:t>《国务院关于促进市场公平竞争维护市场正常秩序的若干意见》（国发（2014）20号）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w:t>
            </w:r>
            <w:r>
              <w:rPr>
                <w:rFonts w:hint="eastAsia" w:ascii="宋体" w:hAnsi="宋体" w:eastAsia="宋体" w:cs="宋体"/>
                <w:lang w:eastAsia="zh-CN"/>
              </w:rPr>
              <w:t>”</w:t>
            </w:r>
            <w:r>
              <w:rPr>
                <w:rFonts w:hint="eastAsia" w:ascii="宋体" w:hAnsi="宋体" w:eastAsia="宋体" w:cs="宋体"/>
              </w:rPr>
              <w:t>制度。（工商总局牵头负责）对守信主体予以支持和激励，对失信主体在经营、投融资、取得政府供应土地、进出口、出入境、注册新公司、工程招投标、政府</w:t>
            </w:r>
            <w:r>
              <w:rPr>
                <w:rFonts w:hint="eastAsia" w:ascii="宋体" w:hAnsi="宋体" w:eastAsia="宋体" w:cs="宋体"/>
                <w:lang w:eastAsia="zh-CN"/>
              </w:rPr>
              <w:t>采</w:t>
            </w:r>
            <w:r>
              <w:rPr>
                <w:rFonts w:hint="eastAsia" w:ascii="宋体" w:hAnsi="宋体" w:eastAsia="宋体" w:cs="宋体"/>
              </w:rPr>
              <w:t>购、获得荣誉、安全许可、生产许可、从业任职资格、资质审核等方面依法予以限制或禁止，对严重违法失信主体实行市场禁入制度。（各相关市场监管部门按职责分工分别负责）</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rPr>
                <w:rFonts w:hint="eastAsia" w:eastAsia="宋体"/>
                <w:lang w:eastAsia="zh-CN"/>
              </w:rPr>
            </w:pPr>
            <w:r>
              <w:t>国家发展改革委、人力资源社会保障部、财政部、</w:t>
            </w:r>
            <w:r>
              <w:rPr>
                <w:rFonts w:hint="eastAsia" w:eastAsia="宋体"/>
                <w:lang w:eastAsia="zh-CN"/>
              </w:rPr>
              <w:t>国</w:t>
            </w:r>
            <w:r>
              <w:t>资委等</w:t>
            </w:r>
            <w:r>
              <w:rPr>
                <w:rFonts w:hint="eastAsia" w:eastAsia="宋体"/>
                <w:lang w:eastAsia="zh-CN"/>
              </w:rPr>
              <w:t>有关单位</w:t>
            </w:r>
          </w:p>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336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24"/>
                <w:szCs w:val="24"/>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《国务院关于建立完善守信联合激励和失信联合惩戒制度加快推进社会诚信建设的指导意见》（国发（2016） 33号） </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sz w:val="24"/>
                <w:szCs w:val="24"/>
              </w:rPr>
              <w:t>（十）依法依规加强对失信行为的行政性约束和惩戒。对严重失信主体，各地区、各有关部门应将其列为重点监管对象，依法依规</w:t>
            </w:r>
            <w:r>
              <w:rPr>
                <w:rFonts w:hint="eastAsia" w:ascii="宋体" w:hAnsi="宋体" w:eastAsia="宋体" w:cs="宋体"/>
                <w:sz w:val="24"/>
                <w:szCs w:val="24"/>
                <w:lang w:eastAsia="zh-CN"/>
              </w:rPr>
              <w:t>采</w:t>
            </w:r>
            <w:r>
              <w:rPr>
                <w:rFonts w:hint="eastAsia" w:ascii="宋体" w:hAnsi="宋体" w:eastAsia="宋体" w:cs="宋体"/>
                <w:sz w:val="24"/>
                <w:szCs w:val="24"/>
              </w:rPr>
              <w:t>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w:t>
            </w:r>
            <w:r>
              <w:rPr>
                <w:rFonts w:hint="eastAsia" w:ascii="宋体" w:hAnsi="宋体" w:eastAsia="宋体" w:cs="宋体"/>
                <w:sz w:val="24"/>
                <w:szCs w:val="24"/>
                <w:lang w:eastAsia="zh-CN"/>
              </w:rPr>
              <w:t>申</w:t>
            </w:r>
            <w:r>
              <w:rPr>
                <w:rFonts w:hint="eastAsia" w:ascii="宋体" w:hAnsi="宋体" w:eastAsia="宋体" w:cs="宋体"/>
                <w:sz w:val="24"/>
                <w:szCs w:val="24"/>
              </w:rPr>
              <w:t>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w:t>
            </w:r>
            <w:r>
              <w:rPr>
                <w:rFonts w:hint="eastAsia" w:ascii="宋体" w:hAnsi="宋体" w:eastAsia="宋体" w:cs="宋体"/>
                <w:sz w:val="24"/>
                <w:szCs w:val="24"/>
                <w:lang w:eastAsia="zh-CN"/>
              </w:rPr>
              <w:t>董</w:t>
            </w:r>
            <w:r>
              <w:rPr>
                <w:rFonts w:hint="eastAsia" w:ascii="宋体" w:hAnsi="宋体" w:eastAsia="宋体" w:cs="宋体"/>
                <w:sz w:val="24"/>
                <w:szCs w:val="24"/>
              </w:rPr>
              <w:t>事、股东等人员的荣誉称号，取消参加评先评优资格</w:t>
            </w:r>
            <w:r>
              <w:rPr>
                <w:sz w:val="24"/>
                <w:szCs w:val="24"/>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567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24"/>
                <w:szCs w:val="24"/>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w:t>
            </w:r>
            <w:r>
              <w:rPr>
                <w:sz w:val="24"/>
                <w:szCs w:val="24"/>
              </w:rPr>
              <w:t>中华人民共和国政府</w:t>
            </w:r>
            <w:r>
              <w:rPr>
                <w:rFonts w:hint="eastAsia" w:eastAsia="宋体"/>
                <w:sz w:val="24"/>
                <w:szCs w:val="24"/>
                <w:lang w:eastAsia="zh-CN"/>
              </w:rPr>
              <w:t>采</w:t>
            </w:r>
            <w:r>
              <w:rPr>
                <w:sz w:val="24"/>
                <w:szCs w:val="24"/>
              </w:rPr>
              <w:t>购法</w:t>
            </w:r>
            <w:r>
              <w:rPr>
                <w:rFonts w:hint="eastAsia" w:ascii="宋体" w:hAnsi="宋体" w:eastAsia="宋体" w:cs="宋体"/>
                <w:lang w:eastAsia="zh-CN"/>
              </w:rPr>
              <w:t>》</w:t>
            </w:r>
          </w:p>
          <w:p>
            <w:pPr>
              <w:bidi w:val="0"/>
              <w:ind w:firstLine="480" w:firstLineChars="200"/>
              <w:rPr>
                <w:rFonts w:hint="eastAsia" w:ascii="宋体" w:hAnsi="宋体" w:eastAsia="宋体" w:cs="宋体"/>
              </w:rPr>
            </w:pPr>
            <w:r>
              <w:rPr>
                <w:rFonts w:hint="eastAsia" w:ascii="宋体" w:hAnsi="宋体" w:eastAsia="宋体" w:cs="宋体"/>
              </w:rPr>
              <w:t>第二十二条</w:t>
            </w:r>
            <w:r>
              <w:rPr>
                <w:rFonts w:hint="eastAsia" w:ascii="宋体" w:hAnsi="宋体" w:eastAsia="宋体" w:cs="宋体"/>
                <w:lang w:val="en-US" w:eastAsia="zh-CN"/>
              </w:rPr>
              <w:t xml:space="preserve">  </w:t>
            </w:r>
            <w:r>
              <w:rPr>
                <w:rFonts w:hint="eastAsia" w:ascii="宋体" w:hAnsi="宋体" w:eastAsia="宋体" w:cs="宋体"/>
              </w:rPr>
              <w:t>供应商参加政府</w:t>
            </w:r>
            <w:r>
              <w:rPr>
                <w:rFonts w:hint="eastAsia" w:ascii="宋体" w:hAnsi="宋体" w:eastAsia="宋体" w:cs="宋体"/>
                <w:lang w:eastAsia="zh-CN"/>
              </w:rPr>
              <w:t>采</w:t>
            </w:r>
            <w:r>
              <w:rPr>
                <w:rFonts w:hint="eastAsia" w:ascii="宋体" w:hAnsi="宋体" w:eastAsia="宋体" w:cs="宋体"/>
              </w:rPr>
              <w:t>购活动应当具备下列条件：</w:t>
            </w:r>
          </w:p>
          <w:p>
            <w:pPr>
              <w:bidi w:val="0"/>
              <w:ind w:firstLine="480" w:firstLineChars="200"/>
            </w:pPr>
            <w:r>
              <w:rPr>
                <w:rFonts w:hint="eastAsia" w:ascii="宋体" w:hAnsi="宋体" w:eastAsia="宋体" w:cs="宋体"/>
                <w:lang w:val="zh-TW" w:eastAsia="zh-TW"/>
              </w:rPr>
              <w:t>（</w:t>
            </w:r>
            <w:r>
              <w:rPr>
                <w:rFonts w:hint="eastAsia" w:ascii="宋体" w:hAnsi="宋体" w:eastAsia="宋体" w:cs="宋体"/>
                <w:lang w:val="zh-TW" w:eastAsia="zh-CN"/>
              </w:rPr>
              <w:t>一</w:t>
            </w:r>
            <w:r>
              <w:rPr>
                <w:rFonts w:hint="eastAsia" w:ascii="宋体" w:hAnsi="宋体" w:eastAsia="宋体" w:cs="宋体"/>
                <w:lang w:val="zh-TW" w:eastAsia="zh-TW"/>
              </w:rPr>
              <w:t>）</w:t>
            </w:r>
            <w:r>
              <w:rPr>
                <w:lang w:val="zh-CN" w:eastAsia="zh-CN"/>
              </w:rPr>
              <w:t>具有</w:t>
            </w:r>
            <w:r>
              <w:t>独立承担民事责任的能力；</w:t>
            </w:r>
          </w:p>
          <w:p>
            <w:pPr>
              <w:bidi w:val="0"/>
              <w:ind w:firstLine="480" w:firstLineChars="200"/>
              <w:rPr>
                <w:rFonts w:hint="eastAsia" w:eastAsia="宋体"/>
                <w:lang w:eastAsia="zh-CN"/>
              </w:rPr>
            </w:pPr>
            <w:bookmarkStart w:id="23" w:name="bookmark29"/>
            <w:r>
              <w:rPr>
                <w:rFonts w:hint="eastAsia" w:ascii="宋体" w:hAnsi="宋体" w:eastAsia="宋体" w:cs="宋体"/>
              </w:rPr>
              <w:t>（</w:t>
            </w:r>
            <w:bookmarkEnd w:id="23"/>
            <w:r>
              <w:rPr>
                <w:rFonts w:hint="eastAsia" w:ascii="宋体" w:hAnsi="宋体" w:eastAsia="宋体" w:cs="宋体"/>
              </w:rPr>
              <w:t>二）</w:t>
            </w:r>
            <w:r>
              <w:rPr>
                <w:rFonts w:hint="eastAsia" w:eastAsia="宋体"/>
                <w:lang w:eastAsia="zh-CN"/>
              </w:rPr>
              <w:t>具</w:t>
            </w:r>
            <w:r>
              <w:t>有良好的商业信誉和健全的财务会计制度</w:t>
            </w:r>
            <w:r>
              <w:rPr>
                <w:rFonts w:hint="eastAsia" w:eastAsia="宋体"/>
                <w:lang w:eastAsia="zh-CN"/>
              </w:rPr>
              <w:t>；</w:t>
            </w:r>
          </w:p>
          <w:p>
            <w:pPr>
              <w:bidi w:val="0"/>
              <w:ind w:firstLine="480" w:firstLineChars="200"/>
            </w:pPr>
            <w:bookmarkStart w:id="24" w:name="bookmark30"/>
            <w:r>
              <w:rPr>
                <w:rFonts w:hint="eastAsia" w:ascii="宋体" w:hAnsi="宋体" w:eastAsia="宋体" w:cs="宋体"/>
              </w:rPr>
              <w:t>（</w:t>
            </w:r>
            <w:bookmarkEnd w:id="24"/>
            <w:r>
              <w:rPr>
                <w:rFonts w:hint="eastAsia" w:ascii="宋体" w:hAnsi="宋体" w:eastAsia="宋体" w:cs="宋体"/>
              </w:rPr>
              <w:t>三）</w:t>
            </w:r>
            <w:r>
              <w:t xml:space="preserve">具有履行合同所必需的设备和专业技术能力； </w:t>
            </w:r>
          </w:p>
          <w:p>
            <w:pPr>
              <w:bidi w:val="0"/>
              <w:ind w:firstLine="480" w:firstLineChars="200"/>
            </w:pPr>
            <w:bookmarkStart w:id="25" w:name="bookmark31"/>
            <w:r>
              <w:rPr>
                <w:rFonts w:hint="eastAsia" w:ascii="宋体" w:hAnsi="宋体" w:eastAsia="宋体" w:cs="宋体"/>
              </w:rPr>
              <w:t>（</w:t>
            </w:r>
            <w:bookmarkEnd w:id="25"/>
            <w:r>
              <w:rPr>
                <w:rFonts w:hint="eastAsia" w:ascii="宋体" w:hAnsi="宋体" w:eastAsia="宋体" w:cs="宋体"/>
              </w:rPr>
              <w:t>四）</w:t>
            </w:r>
            <w:r>
              <w:t>有依法缴纳税收和社会保障资金的良好记录；</w:t>
            </w:r>
          </w:p>
          <w:p>
            <w:pPr>
              <w:bidi w:val="0"/>
              <w:ind w:firstLine="480" w:firstLineChars="200"/>
              <w:rPr>
                <w:rFonts w:hint="eastAsia" w:ascii="宋体" w:hAnsi="宋体" w:eastAsia="宋体" w:cs="宋体"/>
              </w:rPr>
            </w:pPr>
            <w:bookmarkStart w:id="26" w:name="bookmark32"/>
            <w:r>
              <w:rPr>
                <w:rFonts w:hint="eastAsia" w:ascii="宋体" w:hAnsi="宋体" w:eastAsia="宋体" w:cs="宋体"/>
              </w:rPr>
              <w:t>（</w:t>
            </w:r>
            <w:bookmarkEnd w:id="26"/>
            <w:r>
              <w:rPr>
                <w:rFonts w:hint="eastAsia" w:ascii="宋体" w:hAnsi="宋体" w:eastAsia="宋体" w:cs="宋体"/>
              </w:rPr>
              <w:t>五）</w:t>
            </w:r>
            <w:r>
              <w:t>参加政府采购活动前三年内，在经营活动中没有重大违法记录;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eastAsia="宋体"/>
                <w:sz w:val="24"/>
                <w:szCs w:val="24"/>
                <w:lang w:eastAsia="zh-CN"/>
              </w:rPr>
            </w:pPr>
            <w:r>
              <w:rPr>
                <w:rFonts w:hint="eastAsia" w:ascii="宋体" w:hAnsi="宋体" w:eastAsia="宋体" w:cs="宋体"/>
                <w:lang w:eastAsia="zh-CN"/>
              </w:rPr>
              <w:t>（六）</w:t>
            </w:r>
            <w:r>
              <w:rPr>
                <w:sz w:val="24"/>
                <w:szCs w:val="24"/>
              </w:rPr>
              <w:t>法律、行政法规规定的其他条件</w:t>
            </w:r>
            <w:r>
              <w:rPr>
                <w:rFonts w:hint="eastAsia" w:eastAsia="宋体"/>
                <w:sz w:val="24"/>
                <w:szCs w:val="24"/>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采</w:t>
            </w:r>
            <w:r>
              <w:rPr>
                <w:rFonts w:hint="eastAsia" w:ascii="宋体" w:hAnsi="宋体" w:eastAsia="宋体" w:cs="宋体"/>
              </w:rPr>
              <w:t>购人可以根据采购项目的特殊要求，规定供应商的特定条件，但不得以不合理的条件对供应商实行差别待遇或者歧视待遇</w:t>
            </w:r>
            <w:r>
              <w:rPr>
                <w:rFonts w:hint="eastAsia" w:ascii="宋体" w:hAnsi="宋体" w:eastAsia="宋体" w:cs="宋体"/>
                <w:lang w:eastAsia="zh-CN"/>
              </w:rPr>
              <w:t>。</w:t>
            </w:r>
          </w:p>
          <w:p>
            <w:pPr>
              <w:bidi w:val="0"/>
              <w:rPr>
                <w:rFonts w:hint="eastAsia" w:ascii="宋体" w:hAnsi="宋体" w:eastAsia="宋体" w:cs="宋体"/>
              </w:rPr>
            </w:pPr>
            <w:r>
              <w:rPr>
                <w:rFonts w:hint="eastAsia" w:ascii="宋体" w:hAnsi="宋体" w:eastAsia="宋体" w:cs="宋体"/>
              </w:rPr>
              <w:t>《中华人民共和国政府</w:t>
            </w:r>
            <w:r>
              <w:rPr>
                <w:rFonts w:hint="eastAsia" w:ascii="宋体" w:hAnsi="宋体" w:eastAsia="宋体" w:cs="宋体"/>
                <w:lang w:eastAsia="zh-CN"/>
              </w:rPr>
              <w:t>采</w:t>
            </w:r>
            <w:r>
              <w:rPr>
                <w:rFonts w:hint="eastAsia" w:ascii="宋体" w:hAnsi="宋体" w:eastAsia="宋体" w:cs="宋体"/>
              </w:rPr>
              <w:t>购法实施条例》（中华人民共和国国务院令第658号）</w:t>
            </w:r>
          </w:p>
          <w:p>
            <w:pPr>
              <w:bidi w:val="0"/>
              <w:ind w:firstLine="480" w:firstLineChars="200"/>
              <w:rPr>
                <w:rFonts w:hint="eastAsia" w:ascii="宋体" w:hAnsi="宋体" w:eastAsia="宋体" w:cs="宋体"/>
              </w:rPr>
            </w:pPr>
            <w:r>
              <w:rPr>
                <w:rFonts w:hint="eastAsia" w:ascii="宋体" w:hAnsi="宋体" w:eastAsia="宋体" w:cs="宋体"/>
              </w:rPr>
              <w:t>第十九条</w:t>
            </w:r>
            <w:r>
              <w:rPr>
                <w:rFonts w:hint="eastAsia" w:ascii="宋体" w:hAnsi="宋体" w:eastAsia="宋体" w:cs="宋体"/>
                <w:lang w:val="en-US" w:eastAsia="zh-CN"/>
              </w:rPr>
              <w:t xml:space="preserve">  </w:t>
            </w:r>
            <w:r>
              <w:rPr>
                <w:rFonts w:hint="eastAsia" w:ascii="宋体" w:hAnsi="宋体" w:eastAsia="宋体" w:cs="宋体"/>
              </w:rPr>
              <w:t>政府采购法第二十二条第一款第五项所称重大违法记录，是指供应商因违法经营受到刑事处罚或者责令停产停业、吊销许可证或者执照、较大数额罚款等行政处罚。</w:t>
            </w:r>
          </w:p>
          <w:p>
            <w:pPr>
              <w:bidi w:val="0"/>
              <w:ind w:firstLine="480" w:firstLineChars="200"/>
              <w:rPr>
                <w:rFonts w:hint="eastAsia" w:ascii="宋体" w:hAnsi="宋体" w:eastAsia="宋体" w:cs="宋体"/>
              </w:rPr>
            </w:pPr>
            <w:r>
              <w:rPr>
                <w:rFonts w:hint="eastAsia" w:ascii="宋体" w:hAnsi="宋体" w:eastAsia="宋体" w:cs="宋体"/>
              </w:rPr>
              <w:t>供应商在参加政府采购活动前3年内因违法经营被禁止在一定期限内参加政府采购活动，期限届满的，可以参加政府采购活动。</w:t>
            </w:r>
          </w:p>
          <w:p>
            <w:pPr>
              <w:bidi w:val="0"/>
              <w:rPr>
                <w:rFonts w:hint="eastAsia" w:ascii="宋体" w:hAnsi="宋体" w:eastAsia="宋体" w:cs="宋体"/>
              </w:rPr>
            </w:pPr>
            <w:r>
              <w:rPr>
                <w:rFonts w:hint="eastAsia" w:ascii="宋体" w:hAnsi="宋体" w:eastAsia="宋体" w:cs="宋体"/>
              </w:rPr>
              <w:t>《国务院关于印发社会信用体系建设规划纲要</w:t>
            </w:r>
            <w:r>
              <w:rPr>
                <w:rFonts w:hint="eastAsia" w:ascii="宋体" w:hAnsi="宋体" w:eastAsia="宋体" w:cs="宋体"/>
                <w:lang w:val="en-US" w:eastAsia="en-US"/>
              </w:rPr>
              <w:t>（2014-2020</w:t>
            </w:r>
            <w:r>
              <w:rPr>
                <w:rFonts w:hint="eastAsia" w:ascii="宋体" w:hAnsi="宋体" w:eastAsia="宋体" w:cs="宋体"/>
              </w:rPr>
              <w:t>年）的通知》（国发（2014） 21号）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eastAsia="zh-CN"/>
              </w:rPr>
            </w:pPr>
            <w:r>
              <w:rPr>
                <w:rFonts w:hint="eastAsia" w:ascii="宋体" w:hAnsi="宋体" w:eastAsia="宋体" w:cs="宋体"/>
              </w:rPr>
              <w:t>政府采购领域信用建设。加强政府</w:t>
            </w:r>
            <w:r>
              <w:rPr>
                <w:rFonts w:hint="eastAsia" w:ascii="宋体" w:hAnsi="宋体" w:eastAsia="宋体" w:cs="宋体"/>
                <w:lang w:eastAsia="zh-CN"/>
              </w:rPr>
              <w:t>采</w:t>
            </w:r>
            <w:r>
              <w:rPr>
                <w:rFonts w:hint="eastAsia" w:ascii="宋体" w:hAnsi="宋体" w:eastAsia="宋体" w:cs="宋体"/>
              </w:rPr>
              <w:t>购信用管理，强化联动惩戒，保护政府</w:t>
            </w:r>
            <w:r>
              <w:rPr>
                <w:rFonts w:hint="eastAsia" w:ascii="宋体" w:hAnsi="宋体" w:eastAsia="宋体" w:cs="宋体"/>
                <w:lang w:eastAsia="zh-CN"/>
              </w:rPr>
              <w:t>采</w:t>
            </w:r>
            <w:r>
              <w:rPr>
                <w:rFonts w:hint="eastAsia" w:ascii="宋体" w:hAnsi="宋体" w:eastAsia="宋体" w:cs="宋体"/>
              </w:rPr>
              <w:t>购当事人的合法权益。制定供应</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154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24"/>
                <w:szCs w:val="24"/>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商、评审专家、政府采购代理机构以及相关从业人员的信用记录标准。依法建立政府采购供应商不良行为记录名单</w:t>
            </w:r>
            <w:r>
              <w:rPr>
                <w:rFonts w:hint="eastAsia" w:ascii="宋体" w:hAnsi="宋体" w:eastAsia="宋体" w:cs="宋体"/>
                <w:lang w:eastAsia="zh-CN"/>
              </w:rPr>
              <w:t>，</w:t>
            </w:r>
            <w:r>
              <w:rPr>
                <w:rFonts w:hint="eastAsia" w:ascii="宋体" w:hAnsi="宋体" w:eastAsia="宋体" w:cs="宋体"/>
              </w:rPr>
              <w:t>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釆购管理交易系统，提高政府采购活动透明度，实现信用信息的统一发布和共享。</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119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rPr>
            </w:pPr>
            <w:r>
              <w:rPr>
                <w:rFonts w:hint="eastAsia" w:ascii="宋体" w:hAnsi="宋体" w:eastAsia="宋体" w:cs="宋体"/>
              </w:rPr>
              <w:t>（八）依法限制取得政府供应土地。</w:t>
            </w:r>
          </w:p>
          <w:p>
            <w:pPr>
              <w:pStyle w:val="11"/>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24"/>
                <w:szCs w:val="24"/>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《企业信息公示暂行条例》（国务院令第654号）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第十八条</w:t>
            </w:r>
            <w:r>
              <w:rPr>
                <w:rFonts w:hint="eastAsia" w:ascii="宋体" w:hAnsi="宋体" w:eastAsia="宋体" w:cs="宋体"/>
                <w:lang w:val="en-US" w:eastAsia="zh-CN"/>
              </w:rPr>
              <w:t xml:space="preserve">  </w:t>
            </w:r>
            <w:r>
              <w:rPr>
                <w:rFonts w:hint="eastAsia" w:ascii="宋体" w:hAnsi="宋体" w:eastAsia="宋体" w:cs="宋体"/>
              </w:rPr>
              <w:t>县级以上地方人民政府及其有关部门应当建立健全信用约束机制，在政府釆购、工程招投标、国有土地出让、授予荣誉称号等工作中，将企业信息作为重要考量因素，对被列入经营异常名录或者严重违法企业名单的企业依法予以限制或禁入。</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国土资源部</w:t>
            </w:r>
          </w:p>
        </w:tc>
      </w:tr>
      <w:tr>
        <w:tblPrEx>
          <w:tblCellMar>
            <w:top w:w="0" w:type="dxa"/>
            <w:left w:w="10" w:type="dxa"/>
            <w:bottom w:w="0" w:type="dxa"/>
            <w:right w:w="10" w:type="dxa"/>
          </w:tblCellMar>
        </w:tblPrEx>
        <w:trPr>
          <w:trHeight w:val="661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ascii="宋体" w:hAnsi="宋体" w:eastAsia="宋体" w:cs="宋体"/>
                <w:sz w:val="24"/>
                <w:szCs w:val="24"/>
                <w:lang w:eastAsia="zh-CN"/>
              </w:rPr>
            </w:pPr>
            <w:r>
              <w:rPr>
                <w:sz w:val="24"/>
                <w:szCs w:val="24"/>
              </w:rPr>
              <w:t>（九）将违法失信信息作为审核公司信用类债券的重要参考</w:t>
            </w:r>
            <w:r>
              <w:rPr>
                <w:rFonts w:hint="eastAsia"/>
                <w:sz w:val="24"/>
                <w:szCs w:val="24"/>
                <w:lang w:eastAsia="zh-CN"/>
              </w:rPr>
              <w:t>。</w:t>
            </w: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r>
              <w:rPr>
                <w:rFonts w:hint="eastAsia" w:ascii="宋体" w:hAnsi="宋体" w:eastAsia="宋体" w:cs="宋体"/>
              </w:rPr>
              <w:t>《国家发展改革委</w:t>
            </w:r>
            <w:r>
              <w:rPr>
                <w:rFonts w:hint="eastAsia" w:ascii="宋体" w:hAnsi="宋体" w:eastAsia="宋体" w:cs="宋体"/>
                <w:lang w:val="en-US" w:eastAsia="zh-CN"/>
              </w:rPr>
              <w:t xml:space="preserve"> </w:t>
            </w:r>
            <w:r>
              <w:rPr>
                <w:rFonts w:hint="eastAsia" w:ascii="宋体" w:hAnsi="宋体" w:eastAsia="宋体" w:cs="宋体"/>
              </w:rPr>
              <w:t>人民银行</w:t>
            </w:r>
            <w:r>
              <w:rPr>
                <w:rFonts w:hint="eastAsia" w:ascii="宋体" w:hAnsi="宋体" w:eastAsia="宋体" w:cs="宋体"/>
                <w:lang w:val="en-US" w:eastAsia="zh-CN"/>
              </w:rPr>
              <w:t xml:space="preserve"> </w:t>
            </w:r>
            <w:r>
              <w:rPr>
                <w:rFonts w:hint="eastAsia" w:ascii="宋体" w:hAnsi="宋体" w:eastAsia="宋体" w:cs="宋体"/>
              </w:rPr>
              <w:t>中央编办关于在行政管理事项中使用信用记录和信用报告的若干意见》（发改财金</w:t>
            </w:r>
            <w:r>
              <w:rPr>
                <w:rFonts w:hint="eastAsia" w:ascii="宋体" w:hAnsi="宋体" w:eastAsia="宋体" w:cs="宋体"/>
                <w:lang w:eastAsia="zh-CN"/>
              </w:rPr>
              <w:t>〔</w:t>
            </w:r>
            <w:r>
              <w:rPr>
                <w:rFonts w:hint="eastAsia" w:ascii="宋体" w:hAnsi="宋体" w:eastAsia="宋体" w:cs="宋体"/>
              </w:rPr>
              <w:t>2013</w:t>
            </w:r>
            <w:r>
              <w:rPr>
                <w:rFonts w:hint="eastAsia" w:ascii="宋体" w:hAnsi="宋体" w:eastAsia="宋体" w:cs="宋体"/>
                <w:lang w:eastAsia="zh-CN"/>
              </w:rPr>
              <w:t>〕</w:t>
            </w:r>
            <w:r>
              <w:rPr>
                <w:rFonts w:hint="eastAsia" w:ascii="宋体" w:hAnsi="宋体" w:eastAsia="宋体" w:cs="宋体"/>
              </w:rPr>
              <w:t>920号）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bookmarkStart w:id="27" w:name="bookmark34"/>
            <w:r>
              <w:rPr>
                <w:rFonts w:hint="eastAsia" w:ascii="宋体" w:hAnsi="宋体" w:eastAsia="宋体" w:cs="宋体"/>
              </w:rPr>
              <w:t>二</w:t>
            </w:r>
            <w:bookmarkEnd w:id="27"/>
            <w:r>
              <w:rPr>
                <w:rFonts w:hint="eastAsia" w:ascii="宋体" w:hAnsi="宋体" w:eastAsia="宋体" w:cs="宋体"/>
              </w:rPr>
              <w:t>、切实发挥在行政管理事项中使用信用记录和信用报告的作用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各级政府、各相关部门应将相关市场主体所提供的信用记录或信用报告作为其实施行政管理的重要参考。对守信者应探索实行优先办理、简化程序</w:t>
            </w:r>
            <w:r>
              <w:rPr>
                <w:rFonts w:hint="eastAsia" w:ascii="宋体" w:hAnsi="宋体" w:eastAsia="宋体" w:cs="宋体"/>
                <w:lang w:val="zh-CN" w:eastAsia="zh-CN"/>
              </w:rPr>
              <w:t>、“绿</w:t>
            </w:r>
            <w:r>
              <w:rPr>
                <w:rFonts w:hint="eastAsia" w:ascii="宋体" w:hAnsi="宋体" w:eastAsia="宋体" w:cs="宋体"/>
              </w:rPr>
              <w:t>色通道</w:t>
            </w:r>
            <w:r>
              <w:rPr>
                <w:rFonts w:hint="eastAsia" w:ascii="宋体" w:hAnsi="宋体" w:eastAsia="宋体" w:cs="宋体"/>
                <w:lang w:val="zh-CN" w:eastAsia="zh-CN"/>
              </w:rPr>
              <w:t>”和重</w:t>
            </w:r>
            <w:r>
              <w:rPr>
                <w:rFonts w:hint="eastAsia" w:ascii="宋体" w:hAnsi="宋体" w:eastAsia="宋体" w:cs="宋体"/>
              </w:rPr>
              <w:t>点支持等激励政策；对失信者，应结合失信类别和程度，严格落实失信惩戒制度。</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bookmarkStart w:id="28" w:name="bookmark35"/>
            <w:r>
              <w:rPr>
                <w:rFonts w:hint="eastAsia" w:ascii="宋体" w:hAnsi="宋体" w:eastAsia="宋体" w:cs="宋体"/>
              </w:rPr>
              <w:t>三</w:t>
            </w:r>
            <w:bookmarkEnd w:id="28"/>
            <w:r>
              <w:rPr>
                <w:rFonts w:hint="eastAsia" w:ascii="宋体" w:hAnsi="宋体" w:eastAsia="宋体" w:cs="宋体"/>
              </w:rPr>
              <w:t>、探索完善在行政管理事项中使用信用记录和信用报告的制度规范</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各级政府、各相关部门应结合地方和部门实际，在政府采购、招标投标、行政审批、市场准入、资质审核等行政管理事项中依法要求相关市场主体提供由第三方信用服务机构出具的信用记录或信用报告。</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各级政府、各相关部门应根据履职需要，研究明确信用记录或信用报告的主要内容和运用规范。</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五、不断健全全社会守信激励和失信惩戒的联动机制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r>
              <w:rPr>
                <w:rFonts w:hint="eastAsia" w:ascii="宋体" w:hAnsi="宋体" w:eastAsia="宋体" w:cs="宋体"/>
              </w:rPr>
              <w:t>《国家发展改革委办公厅关于进一步改进企业债券发行审核工作的通知》（发改办财金</w:t>
            </w:r>
            <w:r>
              <w:rPr>
                <w:rFonts w:hint="eastAsia" w:ascii="宋体" w:hAnsi="宋体" w:eastAsia="宋体" w:cs="宋体"/>
                <w:lang w:eastAsia="zh-CN"/>
              </w:rPr>
              <w:t>〔</w:t>
            </w:r>
            <w:r>
              <w:rPr>
                <w:rFonts w:hint="eastAsia" w:ascii="宋体" w:hAnsi="宋体" w:eastAsia="宋体" w:cs="宋体"/>
              </w:rPr>
              <w:t>2013</w:t>
            </w:r>
            <w:r>
              <w:rPr>
                <w:rFonts w:hint="eastAsia" w:ascii="宋体" w:hAnsi="宋体" w:eastAsia="宋体" w:cs="宋体"/>
                <w:lang w:eastAsia="zh-CN"/>
              </w:rPr>
              <w:t>〕</w:t>
            </w:r>
            <w:r>
              <w:rPr>
                <w:rFonts w:hint="eastAsia" w:ascii="宋体" w:hAnsi="宋体" w:eastAsia="宋体" w:cs="宋体"/>
              </w:rPr>
              <w:t>957号）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对于以下两类发债申请，要从严审核，有效防范市场风险。</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lang w:val="en-US" w:eastAsia="en-US"/>
              </w:rPr>
              <w:t>（</w:t>
            </w:r>
            <w:r>
              <w:rPr>
                <w:rFonts w:hint="eastAsia" w:ascii="宋体" w:hAnsi="宋体" w:eastAsia="宋体" w:cs="宋体"/>
                <w:lang w:val="en-US" w:eastAsia="zh-CN"/>
              </w:rPr>
              <w:t>一</w:t>
            </w:r>
            <w:r>
              <w:rPr>
                <w:rFonts w:hint="eastAsia" w:ascii="宋体" w:hAnsi="宋体" w:eastAsia="宋体" w:cs="宋体"/>
                <w:lang w:val="en-US" w:eastAsia="en-US"/>
              </w:rPr>
              <w:t>）</w:t>
            </w:r>
            <w:r>
              <w:rPr>
                <w:rFonts w:hint="eastAsia" w:ascii="宋体" w:hAnsi="宋体" w:eastAsia="宋体" w:cs="宋体"/>
              </w:rPr>
              <w:t>募集资金用于产能过剩、髙污染、高耗能等国家产业政策限制领域的发债申请。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 xml:space="preserve">（二）企业信用等级较低，负债率高，债券余额较大或运作不规范、资产不实、偿债措施较弱的发债申请。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《公司债券发行与交易管理办法》（中国证券监督管理委员会令第113号）</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第十七条</w:t>
            </w:r>
            <w:r>
              <w:rPr>
                <w:rFonts w:hint="eastAsia" w:ascii="宋体" w:hAnsi="宋体" w:eastAsia="宋体" w:cs="宋体"/>
                <w:lang w:val="en-US" w:eastAsia="zh-CN"/>
              </w:rPr>
              <w:t xml:space="preserve">  </w:t>
            </w:r>
            <w:r>
              <w:rPr>
                <w:rFonts w:hint="eastAsia" w:ascii="宋体" w:hAnsi="宋体" w:eastAsia="宋体" w:cs="宋体"/>
              </w:rPr>
              <w:t>存在下列情形之一的，不得公开发行公司债券：</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eastAsia="zh-CN"/>
              </w:rPr>
            </w:pPr>
            <w:r>
              <w:rPr>
                <w:rFonts w:hint="eastAsia" w:ascii="宋体" w:hAnsi="宋体" w:eastAsia="宋体" w:cs="宋体"/>
                <w:lang w:val="en-US" w:eastAsia="en-US"/>
              </w:rPr>
              <w:t>（</w:t>
            </w:r>
            <w:r>
              <w:rPr>
                <w:rFonts w:hint="eastAsia" w:ascii="宋体" w:hAnsi="宋体" w:eastAsia="宋体" w:cs="宋体"/>
                <w:lang w:val="en-US" w:eastAsia="zh-CN"/>
              </w:rPr>
              <w:t>一</w:t>
            </w:r>
            <w:r>
              <w:rPr>
                <w:rFonts w:hint="eastAsia" w:ascii="宋体" w:hAnsi="宋体" w:eastAsia="宋体" w:cs="宋体"/>
                <w:lang w:val="en-US" w:eastAsia="en-US"/>
              </w:rPr>
              <w:t>）</w:t>
            </w:r>
            <w:r>
              <w:rPr>
                <w:rFonts w:hint="eastAsia" w:ascii="宋体" w:hAnsi="宋体" w:eastAsia="宋体" w:cs="宋体"/>
              </w:rPr>
              <w:t>最近三十六个月内公司财务会计文件存在虚假记载，或公司存在其他重大违法行为</w:t>
            </w:r>
            <w:r>
              <w:rPr>
                <w:rFonts w:hint="eastAsia" w:ascii="宋体" w:hAnsi="宋体" w:eastAsia="宋体" w:cs="宋体"/>
                <w:lang w:eastAsia="zh-CN"/>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国家发展改革委、人民银行、证监会</w:t>
            </w:r>
          </w:p>
        </w:tc>
      </w:tr>
      <w:tr>
        <w:tblPrEx>
          <w:tblCellMar>
            <w:top w:w="0" w:type="dxa"/>
            <w:left w:w="10" w:type="dxa"/>
            <w:bottom w:w="0" w:type="dxa"/>
            <w:right w:w="10" w:type="dxa"/>
          </w:tblCellMar>
        </w:tblPrEx>
        <w:trPr>
          <w:trHeight w:val="355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sz w:val="24"/>
                <w:szCs w:val="24"/>
              </w:rPr>
            </w:pPr>
          </w:p>
        </w:tc>
        <w:tc>
          <w:tcPr>
            <w:tcW w:w="10269"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ascii="宋体" w:hAnsi="宋体" w:eastAsia="宋体" w:cs="宋体"/>
              </w:rPr>
            </w:pPr>
            <w:bookmarkStart w:id="29" w:name="bookmark36"/>
            <w:r>
              <w:rPr>
                <w:rFonts w:hint="eastAsia" w:ascii="宋体" w:hAnsi="宋体" w:eastAsia="宋体" w:cs="宋体"/>
              </w:rPr>
              <w:t>（</w:t>
            </w:r>
            <w:bookmarkEnd w:id="29"/>
            <w:r>
              <w:rPr>
                <w:rFonts w:hint="eastAsia" w:ascii="宋体" w:hAnsi="宋体" w:eastAsia="宋体" w:cs="宋体"/>
              </w:rPr>
              <w:t>二）本次发行申请文件存在虚假记载、误导性陈述或者重大遗漏；</w:t>
            </w:r>
          </w:p>
          <w:p>
            <w:pPr>
              <w:bidi w:val="0"/>
              <w:ind w:firstLine="480" w:firstLineChars="200"/>
              <w:rPr>
                <w:rFonts w:hint="eastAsia" w:ascii="宋体" w:hAnsi="宋体" w:eastAsia="宋体" w:cs="宋体"/>
              </w:rPr>
            </w:pPr>
            <w:bookmarkStart w:id="30" w:name="bookmark37"/>
            <w:r>
              <w:rPr>
                <w:rFonts w:hint="eastAsia" w:ascii="宋体" w:hAnsi="宋体" w:eastAsia="宋体" w:cs="宋体"/>
              </w:rPr>
              <w:t>（</w:t>
            </w:r>
            <w:bookmarkEnd w:id="30"/>
            <w:r>
              <w:rPr>
                <w:rFonts w:hint="eastAsia" w:ascii="宋体" w:hAnsi="宋体" w:eastAsia="宋体" w:cs="宋体"/>
              </w:rPr>
              <w:t>三）对己发行的公司债券或者其他债务有违约或者迟延支付本息的事实，仍处于继续状态；</w:t>
            </w:r>
          </w:p>
          <w:p>
            <w:pPr>
              <w:bidi w:val="0"/>
              <w:ind w:firstLine="480" w:firstLineChars="200"/>
              <w:rPr>
                <w:rFonts w:hint="eastAsia" w:ascii="宋体" w:hAnsi="宋体" w:eastAsia="宋体" w:cs="宋体"/>
              </w:rPr>
            </w:pPr>
            <w:bookmarkStart w:id="31" w:name="bookmark38"/>
            <w:r>
              <w:rPr>
                <w:rFonts w:hint="eastAsia" w:ascii="宋体" w:hAnsi="宋体" w:eastAsia="宋体" w:cs="宋体"/>
              </w:rPr>
              <w:t>（</w:t>
            </w:r>
            <w:bookmarkEnd w:id="31"/>
            <w:r>
              <w:rPr>
                <w:rFonts w:hint="eastAsia" w:ascii="宋体" w:hAnsi="宋体" w:eastAsia="宋体" w:cs="宋体"/>
              </w:rPr>
              <w:t>四）严重损害投资者合法权益和社会公共利益的其他情形。</w:t>
            </w:r>
          </w:p>
          <w:p>
            <w:pPr>
              <w:bidi w:val="0"/>
              <w:rPr>
                <w:rFonts w:hint="eastAsia" w:ascii="宋体" w:hAnsi="宋体" w:eastAsia="宋体" w:cs="宋体"/>
              </w:rPr>
            </w:pPr>
            <w:r>
              <w:rPr>
                <w:rFonts w:hint="eastAsia" w:ascii="宋体" w:hAnsi="宋体" w:eastAsia="宋体" w:cs="宋体"/>
              </w:rPr>
              <w:t>《国务院关于促进市场公平竞争维护市场正常秩序的若干意见》（国发</w:t>
            </w:r>
            <w:r>
              <w:rPr>
                <w:rFonts w:hint="eastAsia" w:ascii="宋体" w:hAnsi="宋体" w:eastAsia="宋体" w:cs="宋体"/>
                <w:lang w:eastAsia="zh-CN"/>
              </w:rPr>
              <w:t>〔</w:t>
            </w:r>
            <w:r>
              <w:rPr>
                <w:rFonts w:hint="eastAsia" w:ascii="宋体" w:hAnsi="宋体" w:eastAsia="宋体" w:cs="宋体"/>
              </w:rPr>
              <w:t>2014</w:t>
            </w:r>
            <w:r>
              <w:rPr>
                <w:rFonts w:hint="eastAsia" w:ascii="宋体" w:hAnsi="宋体" w:eastAsia="宋体" w:cs="宋体"/>
                <w:lang w:eastAsia="zh-CN"/>
              </w:rPr>
              <w:t>〕</w:t>
            </w:r>
            <w:r>
              <w:rPr>
                <w:rFonts w:hint="eastAsia" w:ascii="宋体" w:hAnsi="宋体" w:eastAsia="宋体" w:cs="宋体"/>
              </w:rPr>
              <w:t>20号）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val="en-US" w:eastAsia="en-US"/>
              </w:rPr>
            </w:pPr>
            <w:r>
              <w:rPr>
                <w:rFonts w:hint="eastAsia" w:ascii="宋体" w:hAnsi="宋体" w:eastAsia="宋体" w:cs="宋体"/>
              </w:rPr>
              <w:t>（十五）建立健全守信激励和失信惩戒机制。将市场主体的信用信息作为实施行政管理的重</w:t>
            </w:r>
            <w:r>
              <w:rPr>
                <w:rFonts w:hint="eastAsia" w:ascii="宋体" w:hAnsi="宋体" w:eastAsia="宋体" w:cs="宋体"/>
                <w:lang w:eastAsia="zh-CN"/>
              </w:rPr>
              <w:t>要</w:t>
            </w:r>
            <w:r>
              <w:rPr>
                <w:rFonts w:hint="eastAsia" w:ascii="宋体" w:hAnsi="宋体" w:eastAsia="宋体" w:cs="宋体"/>
              </w:rPr>
              <w:t>参考。根据市场主体信用状况实行分类分级、动态监管，建立健全经营异常名录制度，对违背市场竞争原则和侵犯消费者、劳动者合法权益的市场主体建立</w:t>
            </w:r>
            <w:r>
              <w:rPr>
                <w:rFonts w:hint="eastAsia" w:ascii="宋体" w:hAnsi="宋体" w:eastAsia="宋体" w:cs="宋体"/>
                <w:lang w:val="zh-CN" w:eastAsia="zh-CN"/>
              </w:rPr>
              <w:t>“黑</w:t>
            </w:r>
            <w:r>
              <w:rPr>
                <w:rFonts w:hint="eastAsia" w:ascii="宋体" w:hAnsi="宋体" w:eastAsia="宋体" w:cs="宋体"/>
              </w:rPr>
              <w:t>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539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r>
              <w:rPr>
                <w:rFonts w:hint="eastAsia"/>
                <w:sz w:val="24"/>
                <w:szCs w:val="24"/>
                <w:lang w:eastAsia="zh-CN"/>
              </w:rPr>
              <w:t>（十）将违法失信信息作为股票发行审核及在全国中小企业股份转让系统公开转让审核的重要参考。</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《中华人民共和国证券法》</w:t>
            </w:r>
          </w:p>
          <w:p>
            <w:pPr>
              <w:bidi w:val="0"/>
              <w:ind w:firstLine="480" w:firstLineChars="200"/>
              <w:rPr>
                <w:rFonts w:hint="eastAsia" w:ascii="宋体" w:hAnsi="宋体" w:eastAsia="宋体" w:cs="宋体"/>
              </w:rPr>
            </w:pPr>
            <w:r>
              <w:rPr>
                <w:rFonts w:hint="eastAsia" w:ascii="宋体" w:hAnsi="宋体" w:eastAsia="宋体" w:cs="宋体"/>
              </w:rPr>
              <w:t>第十三条</w:t>
            </w:r>
            <w:r>
              <w:rPr>
                <w:rFonts w:hint="eastAsia" w:ascii="宋体" w:hAnsi="宋体" w:eastAsia="宋体" w:cs="宋体"/>
                <w:lang w:val="en-US" w:eastAsia="zh-CN"/>
              </w:rPr>
              <w:t xml:space="preserve">  </w:t>
            </w:r>
            <w:r>
              <w:rPr>
                <w:rFonts w:hint="eastAsia" w:ascii="宋体" w:hAnsi="宋体" w:eastAsia="宋体" w:cs="宋体"/>
              </w:rPr>
              <w:t>公司公开发行新股，应当符合下列条件：</w:t>
            </w:r>
          </w:p>
          <w:p>
            <w:pPr>
              <w:bidi w:val="0"/>
              <w:ind w:firstLine="480" w:firstLineChars="200"/>
              <w:rPr>
                <w:rFonts w:hint="eastAsia" w:ascii="宋体" w:hAnsi="宋体" w:eastAsia="宋体" w:cs="宋体"/>
              </w:rPr>
            </w:pPr>
            <w:bookmarkStart w:id="32" w:name="bookmark39"/>
            <w:r>
              <w:rPr>
                <w:rFonts w:hint="eastAsia" w:ascii="宋体" w:hAnsi="宋体" w:eastAsia="宋体" w:cs="宋体"/>
              </w:rPr>
              <w:t>（</w:t>
            </w:r>
            <w:bookmarkEnd w:id="32"/>
            <w:r>
              <w:rPr>
                <w:rFonts w:hint="eastAsia" w:ascii="宋体" w:hAnsi="宋体" w:eastAsia="宋体" w:cs="宋体"/>
              </w:rPr>
              <w:t>三）最近三年财务会计文件无虚假记载，无其他重大违法行为；</w:t>
            </w:r>
          </w:p>
          <w:p>
            <w:pPr>
              <w:bidi w:val="0"/>
              <w:ind w:firstLine="480" w:firstLineChars="200"/>
              <w:rPr>
                <w:rFonts w:hint="eastAsia" w:ascii="宋体" w:hAnsi="宋体" w:eastAsia="宋体" w:cs="宋体"/>
              </w:rPr>
            </w:pPr>
            <w:r>
              <w:rPr>
                <w:rFonts w:hint="eastAsia" w:ascii="宋体" w:hAnsi="宋体" w:eastAsia="宋体" w:cs="宋体"/>
              </w:rPr>
              <w:t>《首次公开发行股票并上市管理办法》（中国证券监督管理委员会令第122号）</w:t>
            </w:r>
          </w:p>
          <w:p>
            <w:pPr>
              <w:bidi w:val="0"/>
              <w:ind w:firstLine="480" w:firstLineChars="200"/>
              <w:rPr>
                <w:rFonts w:hint="eastAsia" w:ascii="宋体" w:hAnsi="宋体" w:eastAsia="宋体" w:cs="宋体"/>
              </w:rPr>
            </w:pPr>
            <w:r>
              <w:rPr>
                <w:rFonts w:hint="eastAsia" w:ascii="宋体" w:hAnsi="宋体" w:eastAsia="宋体" w:cs="宋体"/>
              </w:rPr>
              <w:t>第十八条</w:t>
            </w:r>
            <w:r>
              <w:rPr>
                <w:rFonts w:hint="eastAsia" w:ascii="宋体" w:hAnsi="宋体" w:eastAsia="宋体" w:cs="宋体"/>
                <w:lang w:val="en-US" w:eastAsia="zh-CN"/>
              </w:rPr>
              <w:t xml:space="preserve">  </w:t>
            </w:r>
            <w:r>
              <w:rPr>
                <w:rFonts w:hint="eastAsia" w:ascii="宋体" w:hAnsi="宋体" w:eastAsia="宋体" w:cs="宋体"/>
              </w:rPr>
              <w:t>发行人不得有下列情形：</w:t>
            </w:r>
          </w:p>
          <w:p>
            <w:pPr>
              <w:bidi w:val="0"/>
              <w:ind w:firstLine="480" w:firstLineChars="200"/>
              <w:rPr>
                <w:rFonts w:hint="eastAsia" w:ascii="宋体" w:hAnsi="宋体" w:eastAsia="宋体" w:cs="宋体"/>
              </w:rPr>
            </w:pPr>
            <w:r>
              <w:rPr>
                <w:rFonts w:hint="eastAsia" w:ascii="宋体" w:hAnsi="宋体" w:eastAsia="宋体" w:cs="宋体"/>
              </w:rPr>
              <w:t>（二）最近36个月内违反工商、税收、土地、环保、海关以及其他法律、行政法规，受到行政处罚，且情节严重；</w:t>
            </w:r>
          </w:p>
          <w:p>
            <w:pPr>
              <w:bidi w:val="0"/>
              <w:rPr>
                <w:rFonts w:hint="eastAsia" w:ascii="宋体" w:hAnsi="宋体" w:eastAsia="宋体" w:cs="宋体"/>
              </w:rPr>
            </w:pPr>
            <w:r>
              <w:rPr>
                <w:rFonts w:hint="eastAsia" w:ascii="宋体" w:hAnsi="宋体" w:eastAsia="宋体" w:cs="宋体"/>
              </w:rPr>
              <w:t>《首次公开发行股票并在创业板上市管理办法》（中国证券监督管理委员会令第123号）</w:t>
            </w:r>
          </w:p>
          <w:p>
            <w:pPr>
              <w:bidi w:val="0"/>
              <w:ind w:firstLine="480" w:firstLineChars="200"/>
              <w:rPr>
                <w:rFonts w:hint="eastAsia" w:ascii="宋体" w:hAnsi="宋体" w:eastAsia="宋体" w:cs="宋体"/>
                <w:lang w:eastAsia="zh-CN"/>
              </w:rPr>
            </w:pPr>
            <w:r>
              <w:rPr>
                <w:rFonts w:hint="eastAsia" w:ascii="宋体" w:hAnsi="宋体" w:eastAsia="宋体" w:cs="宋体"/>
              </w:rPr>
              <w:t>第二十条</w:t>
            </w:r>
            <w:r>
              <w:rPr>
                <w:rFonts w:hint="eastAsia" w:ascii="宋体" w:hAnsi="宋体" w:eastAsia="宋体" w:cs="宋体"/>
                <w:lang w:val="en-US" w:eastAsia="zh-CN"/>
              </w:rPr>
              <w:t xml:space="preserve">  </w:t>
            </w:r>
            <w:r>
              <w:rPr>
                <w:rFonts w:hint="eastAsia" w:ascii="宋体" w:hAnsi="宋体" w:eastAsia="宋体" w:cs="宋体"/>
              </w:rPr>
              <w:t>发行人及其控股股东</w:t>
            </w:r>
            <w:r>
              <w:rPr>
                <w:rFonts w:hint="eastAsia" w:ascii="宋体" w:hAnsi="宋体" w:eastAsia="宋体" w:cs="宋体"/>
                <w:lang w:eastAsia="zh-CN"/>
              </w:rPr>
              <w:t>、</w:t>
            </w:r>
            <w:r>
              <w:rPr>
                <w:rFonts w:hint="eastAsia" w:ascii="宋体" w:hAnsi="宋体" w:eastAsia="宋体" w:cs="宋体"/>
              </w:rPr>
              <w:t>实际控制人最近三年内不存在损害投资者合法权益和社会公共利益的重大违法行为</w:t>
            </w:r>
            <w:r>
              <w:rPr>
                <w:rFonts w:hint="eastAsia" w:ascii="宋体" w:hAnsi="宋体" w:eastAsia="宋体" w:cs="宋体"/>
                <w:lang w:eastAsia="zh-CN"/>
              </w:rPr>
              <w:t>。</w:t>
            </w:r>
          </w:p>
          <w:p>
            <w:pPr>
              <w:bidi w:val="0"/>
              <w:rPr>
                <w:rFonts w:hint="eastAsia" w:ascii="宋体" w:hAnsi="宋体" w:eastAsia="宋体" w:cs="宋体"/>
              </w:rPr>
            </w:pPr>
            <w:r>
              <w:rPr>
                <w:rFonts w:hint="eastAsia" w:ascii="宋体" w:hAnsi="宋体" w:eastAsia="宋体" w:cs="宋体"/>
              </w:rPr>
              <w:t>《上市公司证券发行管理办法》（中国证券监督管理委员会令第30号）</w:t>
            </w:r>
          </w:p>
          <w:p>
            <w:pPr>
              <w:bidi w:val="0"/>
              <w:ind w:firstLine="480" w:firstLineChars="200"/>
              <w:rPr>
                <w:rFonts w:hint="eastAsia" w:ascii="宋体" w:hAnsi="宋体" w:eastAsia="宋体" w:cs="宋体"/>
              </w:rPr>
            </w:pPr>
            <w:r>
              <w:rPr>
                <w:rFonts w:hint="eastAsia" w:ascii="宋体" w:hAnsi="宋体" w:eastAsia="宋体" w:cs="宋体"/>
              </w:rPr>
              <w:t>第九条</w:t>
            </w:r>
            <w:r>
              <w:rPr>
                <w:rFonts w:hint="eastAsia" w:ascii="宋体" w:hAnsi="宋体" w:eastAsia="宋体" w:cs="宋体"/>
                <w:lang w:val="en-US" w:eastAsia="zh-CN"/>
              </w:rPr>
              <w:t xml:space="preserve">  </w:t>
            </w:r>
            <w:r>
              <w:rPr>
                <w:rFonts w:hint="eastAsia" w:ascii="宋体" w:hAnsi="宋体" w:eastAsia="宋体" w:cs="宋体"/>
              </w:rPr>
              <w:t>上市公司最近三十六个月内财务会计文件无虚假记载，且不存在下列重大违法行为：</w:t>
            </w:r>
          </w:p>
          <w:p>
            <w:pPr>
              <w:bidi w:val="0"/>
              <w:ind w:firstLine="480" w:firstLineChars="200"/>
              <w:rPr>
                <w:rFonts w:hint="eastAsia" w:ascii="宋体" w:hAnsi="宋体" w:eastAsia="宋体" w:cs="宋体"/>
              </w:rPr>
            </w:pPr>
            <w:bookmarkStart w:id="33" w:name="bookmark40"/>
            <w:r>
              <w:rPr>
                <w:rFonts w:hint="eastAsia" w:ascii="宋体" w:hAnsi="宋体" w:eastAsia="宋体" w:cs="宋体"/>
              </w:rPr>
              <w:t>（</w:t>
            </w:r>
            <w:bookmarkEnd w:id="33"/>
            <w:r>
              <w:rPr>
                <w:rFonts w:hint="eastAsia" w:ascii="宋体" w:hAnsi="宋体" w:eastAsia="宋体" w:cs="宋体"/>
              </w:rPr>
              <w:t>二）违反工商、税收、土地、环保、海关法律、行政法规或规章，受到行政处罚且情节严重，或者受到刑事处罚；</w:t>
            </w:r>
          </w:p>
          <w:p>
            <w:pPr>
              <w:bidi w:val="0"/>
              <w:rPr>
                <w:rFonts w:hint="eastAsia" w:ascii="宋体" w:hAnsi="宋体" w:eastAsia="宋体" w:cs="宋体"/>
              </w:rPr>
            </w:pPr>
            <w:r>
              <w:rPr>
                <w:rFonts w:hint="eastAsia" w:ascii="宋体" w:hAnsi="宋体" w:eastAsia="宋体" w:cs="宋体"/>
              </w:rPr>
              <w:t>《创业板上市公司证券发行管理暂行办法》（中国证券监督管理委员会令第100号）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rPr>
              <w:t>第十条 上市公司存在下列情形之一的，不得发行证券</w:t>
            </w:r>
            <w:r>
              <w:rPr>
                <w:rFonts w:hint="eastAsia" w:ascii="宋体" w:hAnsi="宋体" w:eastAsia="宋体" w:cs="宋体"/>
                <w:lang w:eastAsia="zh-CN"/>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证监会</w:t>
            </w:r>
          </w:p>
        </w:tc>
      </w:tr>
      <w:tr>
        <w:tblPrEx>
          <w:tblCellMar>
            <w:top w:w="0" w:type="dxa"/>
            <w:left w:w="10" w:type="dxa"/>
            <w:bottom w:w="0" w:type="dxa"/>
            <w:right w:w="10" w:type="dxa"/>
          </w:tblCellMar>
        </w:tblPrEx>
        <w:trPr>
          <w:trHeight w:val="152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最近三十六个月内因违反法律、行政法规、规章受到行政处罚且情节严重，或者受到刑事处罚</w:t>
            </w:r>
          </w:p>
          <w:p>
            <w:pPr>
              <w:bidi w:val="0"/>
              <w:rPr>
                <w:rFonts w:hint="eastAsia" w:ascii="宋体" w:hAnsi="宋体" w:eastAsia="宋体" w:cs="宋体"/>
              </w:rPr>
            </w:pPr>
            <w:r>
              <w:rPr>
                <w:rFonts w:hint="eastAsia" w:ascii="宋体" w:hAnsi="宋体" w:eastAsia="宋体" w:cs="宋体"/>
              </w:rPr>
              <w:t>《非上市公众公司监督管理办法》（中国证券监督管理委员会令第96号）</w:t>
            </w:r>
          </w:p>
          <w:p>
            <w:pPr>
              <w:bidi w:val="0"/>
              <w:ind w:firstLine="480" w:firstLineChars="200"/>
              <w:rPr>
                <w:rFonts w:hint="eastAsia" w:ascii="宋体" w:hAnsi="宋体" w:eastAsia="宋体" w:cs="宋体"/>
                <w:lang w:eastAsia="zh-CN"/>
              </w:rPr>
            </w:pPr>
            <w:r>
              <w:rPr>
                <w:rFonts w:hint="eastAsia" w:ascii="宋体" w:hAnsi="宋体" w:eastAsia="宋体" w:cs="宋体"/>
              </w:rPr>
              <w:t>第三条</w:t>
            </w:r>
            <w:r>
              <w:rPr>
                <w:rFonts w:hint="eastAsia" w:ascii="宋体" w:hAnsi="宋体" w:eastAsia="宋体" w:cs="宋体"/>
                <w:lang w:val="en-US" w:eastAsia="zh-CN"/>
              </w:rPr>
              <w:t xml:space="preserve">  </w:t>
            </w:r>
            <w:r>
              <w:rPr>
                <w:rFonts w:hint="eastAsia" w:ascii="宋体" w:hAnsi="宋体" w:eastAsia="宋体" w:cs="宋体"/>
              </w:rPr>
              <w:t>公众公司应当按照法律、行政法规、本办法和公司章程的规定，做到股权明晰，合法规范经营，公司治理机制健全，履行信息披露义务</w:t>
            </w:r>
            <w:r>
              <w:rPr>
                <w:rFonts w:hint="eastAsia" w:ascii="宋体" w:hAnsi="宋体" w:eastAsia="宋体" w:cs="宋体"/>
                <w:lang w:eastAsia="zh-CN"/>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752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r>
              <w:rPr>
                <w:rFonts w:hint="eastAsia"/>
                <w:sz w:val="24"/>
                <w:szCs w:val="24"/>
                <w:lang w:eastAsia="zh-CN"/>
              </w:rPr>
              <w:t>（十一）</w:t>
            </w:r>
            <w:r>
              <w:rPr>
                <w:sz w:val="24"/>
                <w:szCs w:val="24"/>
              </w:rPr>
              <w:t>将违法失信信息作为证券公司、保险公司、基金管理公司及期货公司的设立及股权或实际控制人变更审批或备案，私募投资基金管理人登记、重大事项变更以及基金备 案时的重要参考</w:t>
            </w:r>
            <w:r>
              <w:rPr>
                <w:rFonts w:hint="eastAsia"/>
                <w:sz w:val="24"/>
                <w:szCs w:val="24"/>
                <w:lang w:eastAsia="zh-CN"/>
              </w:rPr>
              <w:t>。</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《中华人民共和国证券法》</w:t>
            </w:r>
          </w:p>
          <w:p>
            <w:pPr>
              <w:bidi w:val="0"/>
              <w:ind w:firstLine="480" w:firstLineChars="200"/>
              <w:rPr>
                <w:rFonts w:hint="eastAsia" w:ascii="宋体" w:hAnsi="宋体" w:eastAsia="宋体" w:cs="宋体"/>
              </w:rPr>
            </w:pPr>
            <w:r>
              <w:rPr>
                <w:rFonts w:hint="eastAsia" w:ascii="宋体" w:hAnsi="宋体" w:eastAsia="宋体" w:cs="宋体"/>
              </w:rPr>
              <w:t>第一百二十四条</w:t>
            </w:r>
            <w:r>
              <w:rPr>
                <w:rFonts w:hint="eastAsia" w:ascii="宋体" w:hAnsi="宋体" w:eastAsia="宋体" w:cs="宋体"/>
                <w:lang w:val="en-US" w:eastAsia="zh-CN"/>
              </w:rPr>
              <w:t xml:space="preserve">  </w:t>
            </w:r>
            <w:r>
              <w:rPr>
                <w:rFonts w:hint="eastAsia" w:ascii="宋体" w:hAnsi="宋体" w:eastAsia="宋体" w:cs="宋体"/>
              </w:rPr>
              <w:t>设立证券公司，应当具备下列条件：</w:t>
            </w:r>
          </w:p>
          <w:p>
            <w:pPr>
              <w:numPr>
                <w:ilvl w:val="0"/>
                <w:numId w:val="3"/>
              </w:numPr>
              <w:bidi w:val="0"/>
              <w:ind w:firstLine="480" w:firstLineChars="200"/>
              <w:rPr>
                <w:rFonts w:hint="eastAsia" w:ascii="宋体" w:hAnsi="宋体" w:eastAsia="宋体" w:cs="宋体"/>
              </w:rPr>
            </w:pPr>
            <w:r>
              <w:rPr>
                <w:rFonts w:hint="eastAsia" w:ascii="宋体" w:hAnsi="宋体" w:eastAsia="宋体" w:cs="宋体"/>
              </w:rPr>
              <w:t>主要股东具有持续盈利能力，信誉良好，最近三年无重大违法违规记录，净资产不低于人民币二亿元；</w:t>
            </w:r>
          </w:p>
          <w:p>
            <w:pPr>
              <w:numPr>
                <w:ilvl w:val="0"/>
                <w:numId w:val="0"/>
              </w:numPr>
              <w:bidi w:val="0"/>
              <w:ind w:right="0" w:rightChars="0"/>
              <w:rPr>
                <w:rFonts w:hint="eastAsia" w:ascii="宋体" w:hAnsi="宋体" w:eastAsia="宋体" w:cs="宋体"/>
              </w:rPr>
            </w:pPr>
            <w:r>
              <w:rPr>
                <w:rFonts w:hint="eastAsia" w:ascii="宋体" w:hAnsi="宋体" w:eastAsia="宋体" w:cs="宋体"/>
              </w:rPr>
              <w:t>《中华人民共和国证券投资基金法》</w:t>
            </w:r>
          </w:p>
          <w:p>
            <w:pPr>
              <w:bidi w:val="0"/>
              <w:ind w:firstLine="480" w:firstLineChars="200"/>
              <w:rPr>
                <w:rFonts w:hint="eastAsia" w:ascii="宋体" w:hAnsi="宋体" w:eastAsia="宋体" w:cs="宋体"/>
              </w:rPr>
            </w:pPr>
            <w:r>
              <w:rPr>
                <w:rFonts w:hint="eastAsia" w:ascii="宋体" w:hAnsi="宋体" w:eastAsia="宋体" w:cs="宋体"/>
              </w:rPr>
              <w:t>第十三条</w:t>
            </w:r>
            <w:r>
              <w:rPr>
                <w:rFonts w:hint="eastAsia" w:ascii="宋体" w:hAnsi="宋体" w:eastAsia="宋体" w:cs="宋体"/>
                <w:lang w:val="en-US" w:eastAsia="zh-CN"/>
              </w:rPr>
              <w:t xml:space="preserve">  </w:t>
            </w:r>
            <w:r>
              <w:rPr>
                <w:rFonts w:hint="eastAsia" w:ascii="宋体" w:hAnsi="宋体" w:eastAsia="宋体" w:cs="宋体"/>
              </w:rPr>
              <w:t>设立管理公开募集基金的基金管理公司，应当具备下列条件，并经国务院证券监督管理机构批准：</w:t>
            </w:r>
          </w:p>
          <w:p>
            <w:pPr>
              <w:bidi w:val="0"/>
              <w:ind w:firstLine="480" w:firstLineChars="200"/>
              <w:rPr>
                <w:rFonts w:hint="eastAsia" w:ascii="宋体" w:hAnsi="宋体" w:eastAsia="宋体" w:cs="宋体"/>
              </w:rPr>
            </w:pPr>
            <w:bookmarkStart w:id="34" w:name="bookmark41"/>
            <w:r>
              <w:rPr>
                <w:rFonts w:hint="eastAsia" w:ascii="宋体" w:hAnsi="宋体" w:eastAsia="宋体" w:cs="宋体"/>
              </w:rPr>
              <w:t>（</w:t>
            </w:r>
            <w:bookmarkEnd w:id="34"/>
            <w:r>
              <w:rPr>
                <w:rFonts w:hint="eastAsia" w:ascii="宋体" w:hAnsi="宋体" w:eastAsia="宋体" w:cs="宋体"/>
              </w:rPr>
              <w:t>三）主要股东应当具有经营金融业务或者管理金融机构的良好业绩、良好的财务状况和社会信誉，资产规模达到国务院规定的标准，最近三年没有违法记录；</w:t>
            </w:r>
          </w:p>
          <w:p>
            <w:pPr>
              <w:bidi w:val="0"/>
              <w:rPr>
                <w:rFonts w:hint="eastAsia" w:ascii="宋体" w:hAnsi="宋体" w:eastAsia="宋体" w:cs="宋体"/>
              </w:rPr>
            </w:pPr>
            <w:r>
              <w:rPr>
                <w:rFonts w:hint="eastAsia" w:ascii="宋体" w:hAnsi="宋体" w:eastAsia="宋体" w:cs="宋体"/>
              </w:rPr>
              <w:t>《期货交易管理条例》（国务院令第627号）</w:t>
            </w:r>
          </w:p>
          <w:p>
            <w:pPr>
              <w:bidi w:val="0"/>
              <w:ind w:firstLine="480" w:firstLineChars="200"/>
              <w:rPr>
                <w:rFonts w:hint="eastAsia" w:ascii="宋体" w:hAnsi="宋体" w:eastAsia="宋体" w:cs="宋体"/>
              </w:rPr>
            </w:pPr>
            <w:r>
              <w:rPr>
                <w:rFonts w:hint="eastAsia" w:ascii="宋体" w:hAnsi="宋体" w:eastAsia="宋体" w:cs="宋体"/>
              </w:rPr>
              <w:t>第十六条</w:t>
            </w:r>
            <w:r>
              <w:rPr>
                <w:rFonts w:hint="eastAsia" w:ascii="宋体" w:hAnsi="宋体" w:eastAsia="宋体" w:cs="宋体"/>
                <w:lang w:val="en-US" w:eastAsia="zh-CN"/>
              </w:rPr>
              <w:t xml:space="preserve">  </w:t>
            </w:r>
            <w:r>
              <w:rPr>
                <w:rFonts w:hint="eastAsia" w:ascii="宋体" w:hAnsi="宋体" w:eastAsia="宋体" w:cs="宋体"/>
              </w:rPr>
              <w:t>申请设立期货公司，应当符合《中华人民共和国公司法》的规定，并</w:t>
            </w:r>
            <w:r>
              <w:rPr>
                <w:rFonts w:hint="eastAsia" w:ascii="宋体" w:hAnsi="宋体" w:eastAsia="宋体" w:cs="宋体"/>
                <w:lang w:eastAsia="zh-CN"/>
              </w:rPr>
              <w:t>具</w:t>
            </w:r>
            <w:r>
              <w:rPr>
                <w:rFonts w:hint="eastAsia" w:ascii="宋体" w:hAnsi="宋体" w:eastAsia="宋体" w:cs="宋体"/>
              </w:rPr>
              <w:t>备下列条件：</w:t>
            </w:r>
          </w:p>
          <w:p>
            <w:pPr>
              <w:bidi w:val="0"/>
              <w:ind w:firstLine="480" w:firstLineChars="200"/>
              <w:rPr>
                <w:rFonts w:hint="eastAsia" w:ascii="宋体" w:hAnsi="宋体" w:eastAsia="宋体" w:cs="宋体"/>
              </w:rPr>
            </w:pPr>
            <w:bookmarkStart w:id="35" w:name="bookmark42"/>
            <w:r>
              <w:rPr>
                <w:rFonts w:hint="eastAsia" w:ascii="宋体" w:hAnsi="宋体" w:eastAsia="宋体" w:cs="宋体"/>
              </w:rPr>
              <w:t>（</w:t>
            </w:r>
            <w:bookmarkEnd w:id="35"/>
            <w:r>
              <w:rPr>
                <w:rFonts w:hint="eastAsia" w:ascii="宋体" w:hAnsi="宋体" w:eastAsia="宋体" w:cs="宋体"/>
              </w:rPr>
              <w:t>四）主要股东以及实际控制人具有持续盈利能力，信誉良好，最近3年无重大违法违规记录；</w:t>
            </w:r>
          </w:p>
          <w:p>
            <w:pPr>
              <w:bidi w:val="0"/>
              <w:rPr>
                <w:rFonts w:hint="eastAsia" w:ascii="宋体" w:hAnsi="宋体" w:eastAsia="宋体" w:cs="宋体"/>
              </w:rPr>
            </w:pPr>
            <w:r>
              <w:rPr>
                <w:rFonts w:hint="eastAsia" w:ascii="宋体" w:hAnsi="宋体" w:eastAsia="宋体" w:cs="宋体"/>
              </w:rPr>
              <w:t>《证券公司监督管理条例》（国务院令第522号）</w:t>
            </w:r>
          </w:p>
          <w:p>
            <w:pPr>
              <w:bidi w:val="0"/>
              <w:ind w:firstLine="480" w:firstLineChars="200"/>
              <w:rPr>
                <w:rFonts w:hint="eastAsia" w:ascii="宋体" w:hAnsi="宋体" w:eastAsia="宋体" w:cs="宋体"/>
              </w:rPr>
            </w:pPr>
            <w:r>
              <w:rPr>
                <w:rFonts w:hint="eastAsia" w:ascii="宋体" w:hAnsi="宋体" w:eastAsia="宋体" w:cs="宋体"/>
              </w:rPr>
              <w:t>第十条</w:t>
            </w:r>
            <w:r>
              <w:rPr>
                <w:rFonts w:hint="eastAsia" w:ascii="宋体" w:hAnsi="宋体" w:eastAsia="宋体" w:cs="宋体"/>
                <w:lang w:val="en-US" w:eastAsia="zh-CN"/>
              </w:rPr>
              <w:t xml:space="preserve">  </w:t>
            </w:r>
            <w:r>
              <w:rPr>
                <w:rFonts w:hint="eastAsia" w:ascii="宋体" w:hAnsi="宋体" w:eastAsia="宋体" w:cs="宋体"/>
              </w:rPr>
              <w:t>有下列情形之一的单位或者个人，不得成为持有证券公司5%以上股权的股东、实际控制人：</w:t>
            </w:r>
          </w:p>
          <w:p>
            <w:pPr>
              <w:bidi w:val="0"/>
              <w:ind w:firstLine="480" w:firstLineChars="200"/>
              <w:rPr>
                <w:rFonts w:hint="eastAsia" w:ascii="宋体" w:hAnsi="宋体" w:eastAsia="宋体" w:cs="宋体"/>
              </w:rPr>
            </w:pPr>
            <w:r>
              <w:rPr>
                <w:rFonts w:hint="eastAsia" w:ascii="宋体" w:hAnsi="宋体" w:eastAsia="宋体" w:cs="宋体"/>
                <w:lang w:val="en-US" w:eastAsia="en-US"/>
              </w:rPr>
              <w:t>（</w:t>
            </w:r>
            <w:r>
              <w:rPr>
                <w:rFonts w:hint="eastAsia" w:ascii="宋体" w:hAnsi="宋体" w:eastAsia="宋体" w:cs="宋体"/>
                <w:lang w:val="en-US" w:eastAsia="zh-CN"/>
              </w:rPr>
              <w:t>一</w:t>
            </w:r>
            <w:r>
              <w:rPr>
                <w:rFonts w:hint="eastAsia" w:ascii="宋体" w:hAnsi="宋体" w:eastAsia="宋体" w:cs="宋体"/>
                <w:lang w:val="en-US" w:eastAsia="en-US"/>
              </w:rPr>
              <w:t>）</w:t>
            </w:r>
            <w:r>
              <w:rPr>
                <w:rFonts w:hint="eastAsia" w:ascii="宋体" w:hAnsi="宋体" w:eastAsia="宋体" w:cs="宋体"/>
              </w:rPr>
              <w:t>因故意犯罪被判处刑罚，刑罚执行完毕未逾3年；</w:t>
            </w:r>
          </w:p>
          <w:p>
            <w:pPr>
              <w:bidi w:val="0"/>
              <w:ind w:firstLine="480" w:firstLineChars="200"/>
              <w:rPr>
                <w:rFonts w:hint="eastAsia" w:ascii="宋体" w:hAnsi="宋体" w:eastAsia="宋体" w:cs="宋体"/>
              </w:rPr>
            </w:pPr>
            <w:r>
              <w:rPr>
                <w:rFonts w:hint="eastAsia" w:ascii="宋体" w:hAnsi="宋体" w:eastAsia="宋体" w:cs="宋体"/>
              </w:rPr>
              <w:t>（四）国务院证券监督管理机构认定的其他情形。</w:t>
            </w:r>
          </w:p>
          <w:p>
            <w:pPr>
              <w:bidi w:val="0"/>
              <w:rPr>
                <w:rFonts w:hint="eastAsia" w:ascii="宋体" w:hAnsi="宋体" w:eastAsia="宋体" w:cs="宋体"/>
              </w:rPr>
            </w:pPr>
            <w:r>
              <w:rPr>
                <w:rFonts w:hint="eastAsia" w:ascii="宋体" w:hAnsi="宋体" w:eastAsia="宋体" w:cs="宋体"/>
              </w:rPr>
              <w:t>《证券投资基金管理公司管理办法》（中国证券监督管理委员会令第84号）</w:t>
            </w:r>
          </w:p>
          <w:p>
            <w:pPr>
              <w:bidi w:val="0"/>
              <w:ind w:firstLine="480" w:firstLineChars="200"/>
              <w:rPr>
                <w:rFonts w:hint="eastAsia" w:ascii="宋体" w:hAnsi="宋体" w:eastAsia="宋体" w:cs="宋体"/>
              </w:rPr>
            </w:pPr>
            <w:r>
              <w:rPr>
                <w:rFonts w:hint="eastAsia" w:ascii="宋体" w:hAnsi="宋体" w:eastAsia="宋体" w:cs="宋体"/>
              </w:rPr>
              <w:t>第七条</w:t>
            </w:r>
            <w:r>
              <w:rPr>
                <w:rFonts w:hint="eastAsia" w:ascii="宋体" w:hAnsi="宋体" w:eastAsia="宋体" w:cs="宋体"/>
                <w:lang w:val="en-US" w:eastAsia="zh-CN"/>
              </w:rPr>
              <w:t xml:space="preserve">  </w:t>
            </w:r>
            <w:r>
              <w:rPr>
                <w:rFonts w:hint="eastAsia" w:ascii="宋体" w:hAnsi="宋体" w:eastAsia="宋体" w:cs="宋体"/>
              </w:rPr>
              <w:t>申请设立基金管理公司，出资或者持有股份占基金管理公司注册资本的比例（以下简称持股比例）在5% 以上的股东，应当具备下列条件：</w:t>
            </w:r>
          </w:p>
          <w:p>
            <w:pPr>
              <w:bidi w:val="0"/>
              <w:ind w:firstLine="480" w:firstLineChars="200"/>
              <w:rPr>
                <w:rFonts w:hint="eastAsia" w:ascii="宋体" w:hAnsi="宋体" w:eastAsia="宋体" w:cs="宋体"/>
              </w:rPr>
            </w:pPr>
            <w:r>
              <w:rPr>
                <w:rFonts w:hint="eastAsia" w:ascii="宋体" w:hAnsi="宋体" w:eastAsia="宋体" w:cs="宋体"/>
              </w:rPr>
              <w:t>（三）最近3年没有因违法违规行为受到行政处罚或者刑事处罚；</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（六）具有良好的社会信誉，最近3年在金融监管、税务、工商等行政机关，以及自律管理、商业银行等机构无不良记录。</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人民银行、证监会</w:t>
            </w:r>
          </w:p>
        </w:tc>
      </w:tr>
      <w:tr>
        <w:tblPrEx>
          <w:tblCellMar>
            <w:top w:w="0" w:type="dxa"/>
            <w:left w:w="10" w:type="dxa"/>
            <w:bottom w:w="0" w:type="dxa"/>
            <w:right w:w="10" w:type="dxa"/>
          </w:tblCellMar>
        </w:tblPrEx>
        <w:trPr>
          <w:trHeight w:val="913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《期货公司监督管理办法》（中国证券监督管理委员会令第110号）</w:t>
            </w:r>
          </w:p>
          <w:p>
            <w:pPr>
              <w:bidi w:val="0"/>
              <w:ind w:firstLine="480" w:firstLineChars="200"/>
              <w:rPr>
                <w:rFonts w:hint="eastAsia" w:ascii="宋体" w:hAnsi="宋体" w:eastAsia="宋体" w:cs="宋体"/>
              </w:rPr>
            </w:pPr>
            <w:r>
              <w:rPr>
                <w:rFonts w:hint="eastAsia" w:ascii="宋体" w:hAnsi="宋体" w:eastAsia="宋体" w:cs="宋体"/>
              </w:rPr>
              <w:t>第七条</w:t>
            </w:r>
            <w:r>
              <w:rPr>
                <w:rFonts w:hint="eastAsia" w:ascii="宋体" w:hAnsi="宋体" w:eastAsia="宋体" w:cs="宋体"/>
                <w:lang w:val="en-US" w:eastAsia="zh-CN"/>
              </w:rPr>
              <w:t xml:space="preserve">  </w:t>
            </w:r>
            <w:r>
              <w:rPr>
                <w:rFonts w:hint="eastAsia" w:ascii="宋体" w:hAnsi="宋体" w:eastAsia="宋体" w:cs="宋体"/>
              </w:rPr>
              <w:t>持有5%以上股权的股东为法人或者其他组织的，应当具备下列条件:</w:t>
            </w:r>
          </w:p>
          <w:p>
            <w:pPr>
              <w:bidi w:val="0"/>
              <w:ind w:firstLine="480" w:firstLineChars="200"/>
              <w:rPr>
                <w:rFonts w:hint="eastAsia" w:ascii="宋体" w:hAnsi="宋体" w:eastAsia="宋体" w:cs="宋体"/>
              </w:rPr>
            </w:pPr>
            <w:bookmarkStart w:id="36" w:name="bookmark46"/>
            <w:r>
              <w:rPr>
                <w:rFonts w:hint="eastAsia" w:ascii="宋体" w:hAnsi="宋体" w:eastAsia="宋体" w:cs="宋体"/>
              </w:rPr>
              <w:t>（</w:t>
            </w:r>
            <w:bookmarkEnd w:id="36"/>
            <w:r>
              <w:rPr>
                <w:rFonts w:hint="eastAsia" w:ascii="宋体" w:hAnsi="宋体" w:eastAsia="宋体" w:cs="宋体"/>
              </w:rPr>
              <w:t>四）近3年未因重大违法违规行为受到行政处罚或者刑事处罚；</w:t>
            </w:r>
          </w:p>
          <w:p>
            <w:pPr>
              <w:bidi w:val="0"/>
              <w:rPr>
                <w:rFonts w:hint="eastAsia" w:ascii="宋体" w:hAnsi="宋体" w:eastAsia="宋体" w:cs="宋体"/>
              </w:rPr>
            </w:pPr>
            <w:r>
              <w:rPr>
                <w:rFonts w:hint="eastAsia" w:ascii="宋体" w:hAnsi="宋体" w:eastAsia="宋体" w:cs="宋体"/>
              </w:rPr>
              <w:t>《国务院关于实施银行卡清算机构准入管理的决定》（国发</w:t>
            </w:r>
            <w:r>
              <w:rPr>
                <w:rFonts w:hint="eastAsia" w:ascii="宋体" w:hAnsi="宋体" w:eastAsia="宋体" w:cs="宋体"/>
                <w:lang w:eastAsia="zh-CN"/>
              </w:rPr>
              <w:t>〔</w:t>
            </w:r>
            <w:r>
              <w:rPr>
                <w:rFonts w:hint="eastAsia" w:ascii="宋体" w:hAnsi="宋体" w:eastAsia="宋体" w:cs="宋体"/>
              </w:rPr>
              <w:t>2015</w:t>
            </w:r>
            <w:r>
              <w:rPr>
                <w:rFonts w:hint="eastAsia" w:ascii="宋体" w:hAnsi="宋体" w:eastAsia="宋体" w:cs="宋体"/>
                <w:lang w:eastAsia="zh-CN"/>
              </w:rPr>
              <w:t>〕</w:t>
            </w:r>
            <w:r>
              <w:rPr>
                <w:rFonts w:hint="eastAsia" w:ascii="宋体" w:hAnsi="宋体" w:eastAsia="宋体" w:cs="宋体"/>
              </w:rPr>
              <w:t>22号）</w:t>
            </w:r>
          </w:p>
          <w:p>
            <w:pPr>
              <w:bidi w:val="0"/>
              <w:ind w:firstLine="480" w:firstLineChars="200"/>
              <w:rPr>
                <w:rFonts w:hint="eastAsia" w:ascii="宋体" w:hAnsi="宋体" w:eastAsia="宋体" w:cs="宋体"/>
              </w:rPr>
            </w:pPr>
            <w:r>
              <w:rPr>
                <w:rFonts w:hint="eastAsia" w:ascii="宋体" w:hAnsi="宋体" w:eastAsia="宋体" w:cs="宋体"/>
              </w:rPr>
              <w:t>二、</w:t>
            </w:r>
            <w:r>
              <w:rPr>
                <w:rFonts w:hint="eastAsia" w:ascii="宋体" w:hAnsi="宋体" w:eastAsia="宋体" w:cs="宋体"/>
                <w:lang w:eastAsia="zh-CN"/>
              </w:rPr>
              <w:t>申</w:t>
            </w:r>
            <w:r>
              <w:rPr>
                <w:rFonts w:hint="eastAsia" w:ascii="宋体" w:hAnsi="宋体" w:eastAsia="宋体" w:cs="宋体"/>
              </w:rPr>
              <w:t>请成为银行卡清算机构应当符合的条件和程序</w:t>
            </w:r>
          </w:p>
          <w:p>
            <w:pPr>
              <w:bidi w:val="0"/>
              <w:ind w:firstLine="480" w:firstLineChars="200"/>
              <w:rPr>
                <w:rFonts w:hint="eastAsia" w:ascii="宋体" w:hAnsi="宋体" w:eastAsia="宋体" w:cs="宋体"/>
              </w:rPr>
            </w:pPr>
            <w:bookmarkStart w:id="37" w:name="bookmark47"/>
            <w:r>
              <w:rPr>
                <w:rFonts w:hint="eastAsia" w:ascii="宋体" w:hAnsi="宋体" w:eastAsia="宋体" w:cs="宋体"/>
              </w:rPr>
              <w:t>（</w:t>
            </w:r>
            <w:bookmarkEnd w:id="37"/>
            <w:r>
              <w:rPr>
                <w:rFonts w:hint="eastAsia" w:ascii="宋体" w:hAnsi="宋体" w:eastAsia="宋体" w:cs="宋体"/>
              </w:rPr>
              <w:t>一）申请成为银行长清算机构的，应当为依据《中华人民共和国公司法》设立的企业法人，并符合以下条件： 2</w:t>
            </w:r>
            <w:r>
              <w:rPr>
                <w:rFonts w:hint="eastAsia" w:ascii="宋体" w:hAnsi="宋体" w:eastAsia="宋体" w:cs="宋体"/>
                <w:lang w:val="zh-CN" w:eastAsia="zh-CN"/>
              </w:rPr>
              <w:t>.至</w:t>
            </w:r>
            <w:r>
              <w:rPr>
                <w:rFonts w:hint="eastAsia" w:ascii="宋体" w:hAnsi="宋体" w:eastAsia="宋体" w:cs="宋体"/>
              </w:rPr>
              <w:t>少具有符合规定条件的持股20%以上的单一主要出资人，或者符合规定条件的合计持股25%以上的多个主要出资人，前述主要出资人申请前一年总资产不低于20亿元人民币或者净资产不低于5亿元人民币，且提出申请前应当连续从事银行、支付或者清算等业务5年以上，连续盈利3年以上，最近3年无重大违法违规记录；其他单一持股比例超过10%的出资人净资产不低于2亿元人民币，</w:t>
            </w:r>
            <w:r>
              <w:rPr>
                <w:rFonts w:hint="eastAsia" w:ascii="宋体" w:hAnsi="宋体" w:eastAsia="宋体" w:cs="宋体"/>
                <w:lang w:eastAsia="zh-CN"/>
              </w:rPr>
              <w:t>具</w:t>
            </w:r>
            <w:r>
              <w:rPr>
                <w:rFonts w:hint="eastAsia" w:ascii="宋体" w:hAnsi="宋体" w:eastAsia="宋体" w:cs="宋体"/>
              </w:rPr>
              <w:t>有持续</w:t>
            </w:r>
            <w:r>
              <w:rPr>
                <w:rFonts w:hint="eastAsia" w:ascii="宋体" w:hAnsi="宋体" w:eastAsia="宋体" w:cs="宋体"/>
                <w:lang w:eastAsia="zh-CN"/>
              </w:rPr>
              <w:t>盈</w:t>
            </w:r>
            <w:r>
              <w:rPr>
                <w:rFonts w:hint="eastAsia" w:ascii="宋体" w:hAnsi="宋体" w:eastAsia="宋体" w:cs="宋体"/>
              </w:rPr>
              <w:t>利能力、信誉良好，最近3年无重大违法违规记录。</w:t>
            </w:r>
          </w:p>
          <w:p>
            <w:pPr>
              <w:bidi w:val="0"/>
              <w:ind w:firstLine="480" w:firstLineChars="200"/>
              <w:rPr>
                <w:rFonts w:hint="eastAsia" w:ascii="宋体" w:hAnsi="宋体" w:eastAsia="宋体" w:cs="宋体"/>
              </w:rPr>
            </w:pPr>
            <w:bookmarkStart w:id="38" w:name="bookmark48"/>
            <w:r>
              <w:rPr>
                <w:rFonts w:hint="eastAsia" w:ascii="宋体" w:hAnsi="宋体" w:eastAsia="宋体" w:cs="宋体"/>
              </w:rPr>
              <w:t>（</w:t>
            </w:r>
            <w:bookmarkEnd w:id="38"/>
            <w:r>
              <w:rPr>
                <w:rFonts w:hint="eastAsia" w:ascii="宋体" w:hAnsi="宋体" w:eastAsia="宋体" w:cs="宋体"/>
              </w:rPr>
              <w:t>三）银行</w:t>
            </w:r>
            <w:r>
              <w:rPr>
                <w:rFonts w:hint="eastAsia" w:ascii="宋体" w:hAnsi="宋体" w:eastAsia="宋体" w:cs="宋体"/>
                <w:lang w:eastAsia="zh-CN"/>
              </w:rPr>
              <w:t>卡</w:t>
            </w:r>
            <w:r>
              <w:rPr>
                <w:rFonts w:hint="eastAsia" w:ascii="宋体" w:hAnsi="宋体" w:eastAsia="宋体" w:cs="宋体"/>
              </w:rPr>
              <w:t>清算机构设立分支机构、分立或者合并，变更名称、注册</w:t>
            </w:r>
            <w:r>
              <w:rPr>
                <w:rFonts w:hint="eastAsia" w:ascii="宋体" w:hAnsi="宋体" w:eastAsia="宋体" w:cs="宋体"/>
                <w:lang w:eastAsia="zh-CN"/>
              </w:rPr>
              <w:t>资</w:t>
            </w:r>
            <w:r>
              <w:rPr>
                <w:rFonts w:hint="eastAsia" w:ascii="宋体" w:hAnsi="宋体" w:eastAsia="宋体" w:cs="宋体"/>
              </w:rPr>
              <w:t>本、单一持股比例超过10%的出资人、银行</w:t>
            </w:r>
            <w:r>
              <w:rPr>
                <w:rFonts w:hint="eastAsia" w:ascii="宋体" w:hAnsi="宋体" w:eastAsia="宋体" w:cs="宋体"/>
                <w:lang w:eastAsia="zh-CN"/>
              </w:rPr>
              <w:t>卡</w:t>
            </w:r>
            <w:r>
              <w:rPr>
                <w:rFonts w:hint="eastAsia" w:ascii="宋体" w:hAnsi="宋体" w:eastAsia="宋体" w:cs="宋体"/>
              </w:rPr>
              <w:t>清算品牌，更换</w:t>
            </w:r>
            <w:r>
              <w:rPr>
                <w:rFonts w:hint="eastAsia" w:ascii="宋体" w:hAnsi="宋体" w:eastAsia="宋体" w:cs="宋体"/>
                <w:lang w:eastAsia="zh-CN"/>
              </w:rPr>
              <w:t>董</w:t>
            </w:r>
            <w:r>
              <w:rPr>
                <w:rFonts w:hint="eastAsia" w:ascii="宋体" w:hAnsi="宋体" w:eastAsia="宋体" w:cs="宋体"/>
              </w:rPr>
              <w:t>事和高级管理人员，终止部分或者全部银行卡清算业务及解散的，应当向中国人民银行提出申请。</w:t>
            </w:r>
          </w:p>
          <w:p>
            <w:pPr>
              <w:bidi w:val="0"/>
              <w:rPr>
                <w:rFonts w:hint="eastAsia" w:ascii="宋体" w:hAnsi="宋体" w:eastAsia="宋体" w:cs="宋体"/>
              </w:rPr>
            </w:pPr>
            <w:r>
              <w:rPr>
                <w:rFonts w:hint="eastAsia" w:ascii="宋体" w:hAnsi="宋体" w:eastAsia="宋体" w:cs="宋体"/>
              </w:rPr>
              <w:t>《银行卡清算机构管理办法》（中国人民银行中国银行业监督管理委员会令</w:t>
            </w:r>
            <w:r>
              <w:rPr>
                <w:rFonts w:hint="eastAsia" w:ascii="宋体" w:hAnsi="宋体" w:eastAsia="宋体" w:cs="宋体"/>
                <w:lang w:eastAsia="zh-CN"/>
              </w:rPr>
              <w:t>〔</w:t>
            </w:r>
            <w:r>
              <w:rPr>
                <w:rFonts w:hint="eastAsia" w:ascii="宋体" w:hAnsi="宋体" w:eastAsia="宋体" w:cs="宋体"/>
              </w:rPr>
              <w:t>2016</w:t>
            </w:r>
            <w:r>
              <w:rPr>
                <w:rFonts w:hint="eastAsia" w:ascii="宋体" w:hAnsi="宋体" w:eastAsia="宋体" w:cs="宋体"/>
                <w:lang w:eastAsia="zh-CN"/>
              </w:rPr>
              <w:t>〕</w:t>
            </w:r>
            <w:r>
              <w:rPr>
                <w:rFonts w:hint="eastAsia" w:ascii="宋体" w:hAnsi="宋体" w:eastAsia="宋体" w:cs="宋体"/>
              </w:rPr>
              <w:t>第2号）</w:t>
            </w:r>
          </w:p>
          <w:p>
            <w:pPr>
              <w:numPr>
                <w:ilvl w:val="0"/>
                <w:numId w:val="4"/>
              </w:numPr>
              <w:bidi w:val="0"/>
              <w:ind w:left="480" w:leftChars="200" w:firstLine="0" w:firstLineChars="0"/>
              <w:jc w:val="both"/>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lang w:eastAsia="zh-CN"/>
              </w:rPr>
              <w:t>申</w:t>
            </w:r>
            <w:r>
              <w:rPr>
                <w:rFonts w:hint="eastAsia" w:ascii="宋体" w:hAnsi="宋体" w:eastAsia="宋体" w:cs="宋体"/>
              </w:rPr>
              <w:t>请人向中国人民银行提出银行卡清算机构筹备申请的，应当提交下列申请材料</w:t>
            </w:r>
            <w:r>
              <w:rPr>
                <w:rFonts w:hint="eastAsia" w:ascii="宋体" w:hAnsi="宋体" w:eastAsia="宋体" w:cs="宋体"/>
                <w:lang w:eastAsia="zh-CN"/>
              </w:rPr>
              <w:t>：</w:t>
            </w:r>
          </w:p>
          <w:p>
            <w:pPr>
              <w:numPr>
                <w:ilvl w:val="0"/>
                <w:numId w:val="0"/>
              </w:numPr>
              <w:bidi w:val="0"/>
              <w:ind w:right="0" w:rightChars="0"/>
              <w:jc w:val="both"/>
              <w:rPr>
                <w:rFonts w:hint="eastAsia" w:ascii="宋体" w:hAnsi="宋体" w:eastAsia="宋体" w:cs="宋体"/>
              </w:rPr>
            </w:pPr>
            <w:r>
              <w:rPr>
                <w:rFonts w:hint="eastAsia" w:ascii="宋体" w:hAnsi="宋体" w:eastAsia="宋体" w:cs="宋体"/>
              </w:rPr>
              <w:t>（六）主要出资人和其他单一持股比例超过10%的出资人的资质证明材料，包括但不限于营业执照、最近三年财务会计报告、无重大违法违规记录证明和从业经历证明等。</w:t>
            </w:r>
          </w:p>
          <w:p>
            <w:pPr>
              <w:bidi w:val="0"/>
              <w:ind w:firstLine="480" w:firstLineChars="200"/>
              <w:rPr>
                <w:rFonts w:hint="eastAsia" w:ascii="宋体" w:hAnsi="宋体" w:eastAsia="宋体" w:cs="宋体"/>
              </w:rPr>
            </w:pPr>
            <w:r>
              <w:rPr>
                <w:rFonts w:hint="eastAsia" w:ascii="宋体" w:hAnsi="宋体" w:eastAsia="宋体" w:cs="宋体"/>
              </w:rPr>
              <w:t>第二十五条</w:t>
            </w:r>
            <w:r>
              <w:rPr>
                <w:rFonts w:hint="eastAsia" w:ascii="宋体" w:hAnsi="宋体" w:eastAsia="宋体" w:cs="宋体"/>
                <w:lang w:val="en-US" w:eastAsia="zh-CN"/>
              </w:rPr>
              <w:t xml:space="preserve">  </w:t>
            </w:r>
            <w:r>
              <w:rPr>
                <w:rFonts w:hint="eastAsia" w:ascii="宋体" w:hAnsi="宋体" w:eastAsia="宋体" w:cs="宋体"/>
              </w:rPr>
              <w:t>银行卡清算机构有下列变更事项之一的，应当按规定向中国人民银行提交变更申请材料：</w:t>
            </w:r>
          </w:p>
          <w:p>
            <w:pPr>
              <w:bidi w:val="0"/>
              <w:ind w:firstLine="480" w:firstLineChars="200"/>
              <w:rPr>
                <w:rFonts w:hint="eastAsia" w:ascii="宋体" w:hAnsi="宋体" w:eastAsia="宋体" w:cs="宋体"/>
              </w:rPr>
            </w:pPr>
            <w:bookmarkStart w:id="39" w:name="bookmark49"/>
            <w:r>
              <w:rPr>
                <w:rFonts w:hint="eastAsia" w:ascii="宋体" w:hAnsi="宋体" w:eastAsia="宋体" w:cs="宋体"/>
              </w:rPr>
              <w:t>（</w:t>
            </w:r>
            <w:bookmarkEnd w:id="39"/>
            <w:r>
              <w:rPr>
                <w:rFonts w:hint="eastAsia" w:ascii="宋体" w:hAnsi="宋体" w:eastAsia="宋体" w:cs="宋体"/>
              </w:rPr>
              <w:t>五）变更主要出资人或其他单一持股比例超过10%的出资人。</w:t>
            </w:r>
          </w:p>
          <w:p>
            <w:pPr>
              <w:bidi w:val="0"/>
              <w:rPr>
                <w:rFonts w:hint="eastAsia" w:ascii="宋体" w:hAnsi="宋体" w:eastAsia="宋体" w:cs="宋体"/>
              </w:rPr>
            </w:pPr>
            <w:r>
              <w:rPr>
                <w:rFonts w:hint="eastAsia" w:ascii="宋体" w:hAnsi="宋体" w:eastAsia="宋体" w:cs="宋体"/>
              </w:rPr>
              <w:t>银行卡清算机构变更单一持股比例超过5%以上的出资人，且不属于上述第五项所规定情形的，应当提前向中国</w:t>
            </w:r>
            <w:r>
              <w:rPr>
                <w:rFonts w:hint="eastAsia" w:ascii="宋体" w:hAnsi="宋体" w:eastAsia="宋体" w:cs="宋体"/>
                <w:lang w:eastAsia="zh-CN"/>
              </w:rPr>
              <w:t>人民</w:t>
            </w:r>
            <w:r>
              <w:rPr>
                <w:rFonts w:hint="eastAsia" w:ascii="宋体" w:hAnsi="宋体" w:eastAsia="宋体" w:cs="宋体"/>
              </w:rPr>
              <w:t>银行和中国银行业监督管理委员会提交变更情况书面报告。</w:t>
            </w:r>
          </w:p>
          <w:p>
            <w:pPr>
              <w:bidi w:val="0"/>
              <w:rPr>
                <w:rFonts w:hint="eastAsia" w:ascii="宋体" w:hAnsi="宋体" w:eastAsia="宋体" w:cs="宋体"/>
              </w:rPr>
            </w:pPr>
            <w:r>
              <w:rPr>
                <w:rFonts w:hint="eastAsia" w:ascii="宋体" w:hAnsi="宋体" w:eastAsia="宋体" w:cs="宋体"/>
              </w:rPr>
              <w:t>《非金融机构支付服务管理办法》（中国人民银行令（2010）第2号）</w:t>
            </w:r>
          </w:p>
          <w:p>
            <w:pPr>
              <w:bidi w:val="0"/>
              <w:ind w:firstLine="480" w:firstLineChars="200"/>
              <w:rPr>
                <w:rFonts w:hint="eastAsia" w:ascii="宋体" w:hAnsi="宋体" w:eastAsia="宋体" w:cs="宋体"/>
                <w:lang w:eastAsia="zh-CN"/>
              </w:rPr>
            </w:pPr>
            <w:r>
              <w:rPr>
                <w:rFonts w:hint="eastAsia" w:ascii="宋体" w:hAnsi="宋体" w:eastAsia="宋体" w:cs="宋体"/>
              </w:rPr>
              <w:t xml:space="preserve">第十条 </w:t>
            </w:r>
            <w:r>
              <w:rPr>
                <w:rFonts w:hint="eastAsia" w:ascii="宋体" w:hAnsi="宋体" w:eastAsia="宋体" w:cs="宋体"/>
                <w:lang w:eastAsia="zh-CN"/>
              </w:rPr>
              <w:t>申</w:t>
            </w:r>
            <w:r>
              <w:rPr>
                <w:rFonts w:hint="eastAsia" w:ascii="宋体" w:hAnsi="宋体" w:eastAsia="宋体" w:cs="宋体"/>
              </w:rPr>
              <w:t>请人的主要出资人应当符合以</w:t>
            </w:r>
            <w:r>
              <w:rPr>
                <w:rFonts w:hint="eastAsia" w:ascii="宋体" w:hAnsi="宋体" w:eastAsia="宋体" w:cs="宋体"/>
                <w:lang w:eastAsia="zh-CN"/>
              </w:rPr>
              <w:t>下</w:t>
            </w:r>
            <w:r>
              <w:rPr>
                <w:rFonts w:hint="eastAsia" w:ascii="宋体" w:hAnsi="宋体" w:eastAsia="宋体" w:cs="宋体"/>
              </w:rPr>
              <w:t>条件：（四）最近3年内未因利用支付业务实施违法犯罪活动或为违法犯罪活动办理支付业务等受过处罚</w:t>
            </w:r>
            <w:r>
              <w:rPr>
                <w:rFonts w:hint="eastAsia" w:ascii="宋体" w:hAnsi="宋体" w:eastAsia="宋体" w:cs="宋体"/>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eastAsia="zh-CN"/>
              </w:rPr>
            </w:pPr>
            <w:r>
              <w:rPr>
                <w:rFonts w:hint="eastAsia" w:ascii="宋体" w:hAnsi="宋体" w:eastAsia="宋体" w:cs="宋体"/>
              </w:rPr>
              <w:t>第四十六条 以欺骗等不正当手段申请《支付业务许可证》但未获批准的，申请人及持有其5%以上股权的出资人3年内不得再次</w:t>
            </w:r>
            <w:r>
              <w:rPr>
                <w:rFonts w:hint="eastAsia" w:ascii="宋体" w:hAnsi="宋体" w:eastAsia="宋体" w:cs="宋体"/>
                <w:lang w:eastAsia="zh-CN"/>
              </w:rPr>
              <w:t>申</w:t>
            </w:r>
            <w:r>
              <w:rPr>
                <w:rFonts w:hint="eastAsia" w:ascii="宋体" w:hAnsi="宋体" w:eastAsia="宋体" w:cs="宋体"/>
              </w:rPr>
              <w:t>请或参与</w:t>
            </w:r>
            <w:r>
              <w:rPr>
                <w:rFonts w:hint="eastAsia" w:ascii="宋体" w:hAnsi="宋体" w:eastAsia="宋体" w:cs="宋体"/>
                <w:lang w:eastAsia="zh-CN"/>
              </w:rPr>
              <w:t>申</w:t>
            </w:r>
            <w:r>
              <w:rPr>
                <w:rFonts w:hint="eastAsia" w:ascii="宋体" w:hAnsi="宋体" w:eastAsia="宋体" w:cs="宋体"/>
              </w:rPr>
              <w:t>请《支付业务许可证》。以欺骗等不正当手段申请《支付业务许可证》且己获批准</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93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rPr>
            </w:pPr>
            <w:r>
              <w:rPr>
                <w:sz w:val="24"/>
                <w:szCs w:val="24"/>
              </w:rPr>
              <w:t>的，由中国人民银行及其分支机构责令其终止支付业务，注销其《支付业务许可证》：涉嫌犯罪的，依法移送公安机关立案侦查：构成犯罪的，依法追究刑事责任；申请人及持有其5%以上股权的出资人不得再次申请或参与申请《支付业务许可证》。</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254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r>
              <w:rPr>
                <w:rFonts w:hint="eastAsia"/>
                <w:sz w:val="24"/>
                <w:szCs w:val="24"/>
                <w:lang w:eastAsia="zh-CN"/>
              </w:rPr>
              <w:t>（十二）将违法失信信息作为证券公司、基金管理公司、期货公司的董事、监事和高级管理人员及分支机构负责人任职审批或备案的参考。</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《证券法》</w:t>
            </w:r>
          </w:p>
          <w:p>
            <w:pPr>
              <w:bidi w:val="0"/>
              <w:ind w:firstLine="480" w:firstLineChars="200"/>
              <w:rPr>
                <w:rFonts w:hint="eastAsia" w:ascii="宋体" w:hAnsi="宋体" w:eastAsia="宋体" w:cs="宋体"/>
              </w:rPr>
            </w:pPr>
            <w:r>
              <w:rPr>
                <w:rFonts w:hint="eastAsia" w:ascii="宋体" w:hAnsi="宋体" w:eastAsia="宋体" w:cs="宋体"/>
              </w:rPr>
              <w:t xml:space="preserve">第一百三十一条 </w:t>
            </w:r>
            <w:r>
              <w:rPr>
                <w:rFonts w:hint="eastAsia" w:ascii="宋体" w:hAnsi="宋体" w:eastAsia="宋体" w:cs="宋体"/>
                <w:lang w:val="en-US" w:eastAsia="zh-CN"/>
              </w:rPr>
              <w:t xml:space="preserve"> </w:t>
            </w:r>
            <w:r>
              <w:rPr>
                <w:rFonts w:hint="eastAsia" w:ascii="宋体" w:hAnsi="宋体" w:eastAsia="宋体" w:cs="宋体"/>
              </w:rPr>
              <w:t>证券公司的董事、监事、高级管理人员，应当正直诚实，品行良好。</w:t>
            </w:r>
          </w:p>
          <w:p>
            <w:pPr>
              <w:bidi w:val="0"/>
              <w:rPr>
                <w:rFonts w:hint="eastAsia" w:ascii="宋体" w:hAnsi="宋体" w:eastAsia="宋体" w:cs="宋体"/>
              </w:rPr>
            </w:pPr>
            <w:r>
              <w:rPr>
                <w:rFonts w:hint="eastAsia" w:ascii="宋体" w:hAnsi="宋体" w:eastAsia="宋体" w:cs="宋体"/>
              </w:rPr>
              <w:t>《证券公司董事、监事和高级管理人员任职资格监管办法》（中国证券监督管理委员会令第39号）</w:t>
            </w:r>
          </w:p>
          <w:p>
            <w:pPr>
              <w:bidi w:val="0"/>
              <w:ind w:firstLine="480" w:firstLineChars="200"/>
              <w:rPr>
                <w:rFonts w:hint="eastAsia" w:ascii="宋体" w:hAnsi="宋体" w:eastAsia="宋体" w:cs="宋体"/>
              </w:rPr>
            </w:pPr>
            <w:r>
              <w:rPr>
                <w:rFonts w:hint="eastAsia" w:ascii="宋体" w:hAnsi="宋体" w:eastAsia="宋体" w:cs="宋体"/>
              </w:rPr>
              <w:t>第八条</w:t>
            </w:r>
            <w:r>
              <w:rPr>
                <w:rFonts w:hint="eastAsia" w:ascii="宋体" w:hAnsi="宋体" w:eastAsia="宋体" w:cs="宋体"/>
                <w:lang w:val="en-US" w:eastAsia="zh-CN"/>
              </w:rPr>
              <w:t xml:space="preserve">  </w:t>
            </w:r>
            <w:r>
              <w:rPr>
                <w:rFonts w:hint="eastAsia" w:ascii="宋体" w:hAnsi="宋体" w:eastAsia="宋体" w:cs="宋体"/>
              </w:rPr>
              <w:t>取得证券公司董事、监事、高管人员和分支机构负责人任职资格，应当具备以下基本条件：（一）正直诚实，品行良好。</w:t>
            </w:r>
          </w:p>
          <w:p>
            <w:pPr>
              <w:bidi w:val="0"/>
              <w:rPr>
                <w:rFonts w:hint="eastAsia" w:ascii="宋体" w:hAnsi="宋体" w:eastAsia="宋体" w:cs="宋体"/>
              </w:rPr>
            </w:pPr>
            <w:r>
              <w:rPr>
                <w:rFonts w:hint="eastAsia" w:ascii="宋体" w:hAnsi="宋体" w:eastAsia="宋体" w:cs="宋体"/>
              </w:rPr>
              <w:t>《证券投资基金行业高级管理人员任职管理办法》（中国证券监督管理委员会令第23号）</w:t>
            </w:r>
          </w:p>
          <w:p>
            <w:pPr>
              <w:bidi w:val="0"/>
              <w:ind w:firstLine="480" w:firstLineChars="200"/>
              <w:rPr>
                <w:rFonts w:hint="eastAsia" w:ascii="宋体" w:hAnsi="宋体" w:eastAsia="宋体" w:cs="宋体"/>
              </w:rPr>
            </w:pPr>
            <w:r>
              <w:rPr>
                <w:rFonts w:hint="eastAsia" w:ascii="宋体" w:hAnsi="宋体" w:eastAsia="宋体" w:cs="宋体"/>
              </w:rPr>
              <w:t>第四条</w:t>
            </w:r>
            <w:r>
              <w:rPr>
                <w:rFonts w:hint="eastAsia" w:ascii="宋体" w:hAnsi="宋体" w:eastAsia="宋体" w:cs="宋体"/>
                <w:lang w:val="en-US" w:eastAsia="zh-CN"/>
              </w:rPr>
              <w:t xml:space="preserve">  </w:t>
            </w:r>
            <w:r>
              <w:rPr>
                <w:rFonts w:hint="eastAsia" w:ascii="宋体" w:hAnsi="宋体" w:eastAsia="宋体" w:cs="宋体"/>
              </w:rPr>
              <w:t>高级管理人员应当遵守法律、行政法规和中国证监会的规定，</w:t>
            </w:r>
            <w:r>
              <w:rPr>
                <w:rFonts w:hint="eastAsia" w:ascii="宋体" w:hAnsi="宋体" w:eastAsia="宋体" w:cs="宋体"/>
                <w:lang w:val="zh-CN" w:eastAsia="zh-CN"/>
              </w:rPr>
              <w:t>道守公</w:t>
            </w:r>
            <w:r>
              <w:rPr>
                <w:rFonts w:hint="eastAsia" w:ascii="宋体" w:hAnsi="宋体" w:eastAsia="宋体" w:cs="宋体"/>
              </w:rPr>
              <w:t>司章程和行业规范，恪守诚信，审慎勤勉，忠实尽</w:t>
            </w:r>
            <w:r>
              <w:rPr>
                <w:rFonts w:hint="eastAsia" w:ascii="宋体" w:hAnsi="宋体" w:eastAsia="宋体" w:cs="宋体"/>
                <w:lang w:eastAsia="zh-CN"/>
              </w:rPr>
              <w:t>责</w:t>
            </w:r>
            <w:r>
              <w:rPr>
                <w:rFonts w:hint="eastAsia" w:ascii="宋体" w:hAnsi="宋体" w:eastAsia="宋体" w:cs="宋体"/>
              </w:rPr>
              <w:t>，维护基金份额持有人的合法权益。</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证监会</w:t>
            </w:r>
          </w:p>
        </w:tc>
      </w:tr>
      <w:tr>
        <w:tblPrEx>
          <w:tblCellMar>
            <w:top w:w="0" w:type="dxa"/>
            <w:left w:w="10" w:type="dxa"/>
            <w:bottom w:w="0" w:type="dxa"/>
            <w:right w:w="10" w:type="dxa"/>
          </w:tblCellMar>
        </w:tblPrEx>
        <w:trPr>
          <w:trHeight w:val="345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widowControl w:val="0"/>
              <w:shd w:val="clear" w:color="auto" w:fill="auto"/>
              <w:bidi w:val="0"/>
              <w:spacing w:before="0" w:after="0" w:line="317" w:lineRule="exact"/>
              <w:ind w:left="0" w:right="0" w:firstLine="0"/>
              <w:jc w:val="left"/>
              <w:rPr>
                <w:rFonts w:hint="eastAsia"/>
                <w:sz w:val="24"/>
                <w:szCs w:val="24"/>
                <w:lang w:eastAsia="zh-CN"/>
              </w:rPr>
            </w:pPr>
            <w:r>
              <w:rPr>
                <w:rFonts w:hint="eastAsia"/>
                <w:sz w:val="24"/>
                <w:szCs w:val="24"/>
                <w:lang w:eastAsia="zh-CN"/>
              </w:rPr>
              <w:t>（十三）将违法失信信息作为独立基金销售机构审批时的参考。</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21349335</wp:posOffset>
                      </wp:positionH>
                      <wp:positionV relativeFrom="margin">
                        <wp:posOffset>3713480</wp:posOffset>
                      </wp:positionV>
                      <wp:extent cx="1130300" cy="419100"/>
                      <wp:effectExtent l="0" t="0" r="0" b="0"/>
                      <wp:wrapNone/>
                      <wp:docPr id="118" name="Shape 118"/>
                      <wp:cNvGraphicFramePr/>
                      <a:graphic xmlns:a="http://schemas.openxmlformats.org/drawingml/2006/main">
                        <a:graphicData uri="http://schemas.microsoft.com/office/word/2010/wordprocessingShape">
                          <wps:wsp>
                            <wps:cNvSpPr txBox="1"/>
                            <wps:spPr>
                              <a:xfrm>
                                <a:off x="0" y="0"/>
                                <a:ext cx="1130300" cy="4191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both"/>
                                  </w:pPr>
                                  <w:r>
                                    <w:rPr>
                                      <w:color w:val="000000"/>
                                      <w:spacing w:val="0"/>
                                      <w:w w:val="100"/>
                                      <w:position w:val="0"/>
                                    </w:rPr>
                                    <w:t>证监会</w:t>
                                  </w:r>
                                </w:p>
                              </w:txbxContent>
                            </wps:txbx>
                            <wps:bodyPr lIns="0" tIns="0" rIns="0" bIns="0">
                              <a:noAutofit/>
                            </wps:bodyPr>
                          </wps:wsp>
                        </a:graphicData>
                      </a:graphic>
                    </wp:anchor>
                  </w:drawing>
                </mc:Choice>
                <mc:Fallback>
                  <w:pict>
                    <v:shape id="Shape 118" o:spid="_x0000_s1026" o:spt="202" type="#_x0000_t202" style="position:absolute;left:0pt;margin-left:1681.05pt;margin-top:292.4pt;height:33pt;width:89pt;mso-position-horizontal-relative:page;mso-position-vertical-relative:margin;z-index:503316480;mso-width-relative:page;mso-height-relative:page;" filled="f" stroked="f" coordsize="21600,21600" o:gfxdata="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oXsXdsAAAANAQAA&#10;DwAAAAAAAAABACAAAAAiAAAAZHJzL2Rvd25yZXYueG1sUEsBAhQAFAAAAAgAh07iQL5ommekAQAA&#10;aAMAAA4AAAAAAAAAAQAgAAAAKgEAAGRycy9lMm9Eb2MueG1sUEsFBgAAAAAGAAYAWQEAAEAFAAAA&#10;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both"/>
                            </w:pPr>
                            <w:r>
                              <w:rPr>
                                <w:color w:val="000000"/>
                                <w:spacing w:val="0"/>
                                <w:w w:val="100"/>
                                <w:position w:val="0"/>
                              </w:rPr>
                              <w:t>证监会</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21400135</wp:posOffset>
                      </wp:positionH>
                      <wp:positionV relativeFrom="margin">
                        <wp:posOffset>8450580</wp:posOffset>
                      </wp:positionV>
                      <wp:extent cx="1130300" cy="419100"/>
                      <wp:effectExtent l="0" t="0" r="0" b="0"/>
                      <wp:wrapNone/>
                      <wp:docPr id="120" name="Shape 120"/>
                      <wp:cNvGraphicFramePr/>
                      <a:graphic xmlns:a="http://schemas.openxmlformats.org/drawingml/2006/main">
                        <a:graphicData uri="http://schemas.microsoft.com/office/word/2010/wordprocessingShape">
                          <wps:wsp>
                            <wps:cNvSpPr txBox="1"/>
                            <wps:spPr>
                              <a:xfrm>
                                <a:off x="0" y="0"/>
                                <a:ext cx="1130300" cy="4191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both"/>
                                  </w:pPr>
                                  <w:r>
                                    <w:rPr>
                                      <w:color w:val="000000"/>
                                      <w:spacing w:val="0"/>
                                      <w:w w:val="100"/>
                                      <w:position w:val="0"/>
                                    </w:rPr>
                                    <w:t>证监会</w:t>
                                  </w:r>
                                </w:p>
                              </w:txbxContent>
                            </wps:txbx>
                            <wps:bodyPr lIns="0" tIns="0" rIns="0" bIns="0">
                              <a:noAutofit/>
                            </wps:bodyPr>
                          </wps:wsp>
                        </a:graphicData>
                      </a:graphic>
                    </wp:anchor>
                  </w:drawing>
                </mc:Choice>
                <mc:Fallback>
                  <w:pict>
                    <v:shape id="Shape 120" o:spid="_x0000_s1026" o:spt="202" type="#_x0000_t202" style="position:absolute;left:0pt;margin-left:1685.05pt;margin-top:665.4pt;height:33pt;width:89pt;mso-position-horizontal-relative:page;mso-position-vertical-relative:margin;z-index:503316480;mso-width-relative:page;mso-height-relative:page;" filled="f" stroked="f" coordsize="21600,21600" o:gfxdata="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O8QpztsAAAAPAQAA&#10;DwAAAAAAAAABACAAAAAiAAAAZHJzL2Rvd25yZXYueG1sUEsBAhQAFAAAAAgAh07iQDde8hikAQAA&#10;aAMAAA4AAAAAAAAAAQAgAAAAKgEAAGRycy9lMm9Eb2MueG1sUEsFBgAAAAAGAAYAWQEAAEAFAAAA&#10;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both"/>
                            </w:pPr>
                            <w:r>
                              <w:rPr>
                                <w:color w:val="000000"/>
                                <w:spacing w:val="0"/>
                                <w:w w:val="100"/>
                                <w:position w:val="0"/>
                              </w:rPr>
                              <w:t>证监会</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10338435</wp:posOffset>
                      </wp:positionH>
                      <wp:positionV relativeFrom="margin">
                        <wp:posOffset>4589780</wp:posOffset>
                      </wp:positionV>
                      <wp:extent cx="279400" cy="342900"/>
                      <wp:effectExtent l="0" t="0" r="0" b="0"/>
                      <wp:wrapNone/>
                      <wp:docPr id="122" name="Shape 122"/>
                      <wp:cNvGraphicFramePr/>
                      <a:graphic xmlns:a="http://schemas.openxmlformats.org/drawingml/2006/main">
                        <a:graphicData uri="http://schemas.microsoft.com/office/word/2010/wordprocessingShape">
                          <wps:wsp>
                            <wps:cNvSpPr txBox="1"/>
                            <wps:spPr>
                              <a:xfrm>
                                <a:off x="0" y="0"/>
                                <a:ext cx="279400" cy="3429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center"/>
                                    <w:rPr>
                                      <w:sz w:val="46"/>
                                      <w:szCs w:val="46"/>
                                    </w:rPr>
                                  </w:pPr>
                                  <w:r>
                                    <w:rPr>
                                      <w:color w:val="000000"/>
                                      <w:spacing w:val="0"/>
                                      <w:w w:val="100"/>
                                      <w:position w:val="0"/>
                                      <w:sz w:val="46"/>
                                      <w:szCs w:val="46"/>
                                      <w:shd w:val="clear" w:color="auto" w:fill="FFFFFF"/>
                                    </w:rPr>
                                    <w:t>亞</w:t>
                                  </w:r>
                                </w:p>
                              </w:txbxContent>
                            </wps:txbx>
                            <wps:bodyPr lIns="0" tIns="0" rIns="0" bIns="0">
                              <a:noAutofit/>
                            </wps:bodyPr>
                          </wps:wsp>
                        </a:graphicData>
                      </a:graphic>
                    </wp:anchor>
                  </w:drawing>
                </mc:Choice>
                <mc:Fallback>
                  <w:pict>
                    <v:shape id="Shape 122" o:spid="_x0000_s1026" o:spt="202" type="#_x0000_t202" style="position:absolute;left:0pt;margin-left:814.05pt;margin-top:361.4pt;height:27pt;width:22pt;mso-position-horizontal-relative:page;mso-position-vertical-relative:margin;z-index:503316480;mso-width-relative:page;mso-height-relative:page;" filled="f" stroked="f" coordsize="21600,21600" o:gfxdata="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f/9qDZAAAADQEAAA8A&#10;AAAAAAAAAQAgAAAAIgAAAGRycy9kb3ducmV2LnhtbFBLAQIUABQAAAAIAIdO4kBH+/35pAEAAGcD&#10;AAAOAAAAAAAAAAEAIAAAACgBAABkcnMvZTJvRG9jLnhtbFBLBQYAAAAABgAGAFkBAAA+BQ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center"/>
                              <w:rPr>
                                <w:sz w:val="46"/>
                                <w:szCs w:val="46"/>
                              </w:rPr>
                            </w:pPr>
                            <w:r>
                              <w:rPr>
                                <w:color w:val="000000"/>
                                <w:spacing w:val="0"/>
                                <w:w w:val="100"/>
                                <w:position w:val="0"/>
                                <w:sz w:val="46"/>
                                <w:szCs w:val="46"/>
                                <w:shd w:val="clear" w:color="auto" w:fill="FFFFFF"/>
                              </w:rPr>
                              <w:t>亞</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21857335</wp:posOffset>
                      </wp:positionH>
                      <wp:positionV relativeFrom="margin">
                        <wp:posOffset>8641080</wp:posOffset>
                      </wp:positionV>
                      <wp:extent cx="203200" cy="203200"/>
                      <wp:effectExtent l="0" t="0" r="0" b="0"/>
                      <wp:wrapNone/>
                      <wp:docPr id="124" name="Shape 124"/>
                      <wp:cNvGraphicFramePr/>
                      <a:graphic xmlns:a="http://schemas.openxmlformats.org/drawingml/2006/main">
                        <a:graphicData uri="http://schemas.microsoft.com/office/word/2010/wordprocessingShape">
                          <wps:wsp>
                            <wps:cNvSpPr txBox="1"/>
                            <wps:spPr>
                              <a:xfrm>
                                <a:off x="0" y="0"/>
                                <a:ext cx="203200" cy="2032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b/>
                                      <w:bCs/>
                                      <w:color w:val="000000"/>
                                      <w:spacing w:val="0"/>
                                      <w:w w:val="100"/>
                                      <w:position w:val="0"/>
                                      <w:sz w:val="26"/>
                                      <w:szCs w:val="26"/>
                                      <w:shd w:val="clear" w:color="auto" w:fill="FFFFFF"/>
                                      <w:lang w:val="en-US" w:eastAsia="en-US" w:bidi="en-US"/>
                                    </w:rPr>
                                    <w:t>nt</w:t>
                                  </w:r>
                                </w:p>
                              </w:txbxContent>
                            </wps:txbx>
                            <wps:bodyPr lIns="0" tIns="0" rIns="0" bIns="0">
                              <a:noAutofit/>
                            </wps:bodyPr>
                          </wps:wsp>
                        </a:graphicData>
                      </a:graphic>
                    </wp:anchor>
                  </w:drawing>
                </mc:Choice>
                <mc:Fallback>
                  <w:pict>
                    <v:shape id="Shape 124" o:spid="_x0000_s1026" o:spt="202" type="#_x0000_t202" style="position:absolute;left:0pt;margin-left:1721.05pt;margin-top:680.4pt;height:16pt;width:16pt;mso-position-horizontal-relative:page;mso-position-vertical-relative:margin;z-index:503316480;mso-width-relative:page;mso-height-relative:page;" filled="f" stroked="f" coordsize="21600,21600" o:gfxdata="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Iil7F3AAAAA8BAAAPAAAA&#10;AAAAAAEAIAAAACIAAABkcnMvZG93bnJldi54bWxQSwECFAAUAAAACACHTuJAnFjm6p8BAABnAwAA&#10;DgAAAAAAAAABACAAAAArAQAAZHJzL2Uyb0RvYy54bWxQSwUGAAAAAAYABgBZAQAAPAU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both"/>
                              <w:rPr>
                                <w:sz w:val="26"/>
                                <w:szCs w:val="26"/>
                              </w:rPr>
                            </w:pPr>
                            <w:r>
                              <w:rPr>
                                <w:rFonts w:ascii="Times New Roman" w:hAnsi="Times New Roman" w:eastAsia="Times New Roman" w:cs="Times New Roman"/>
                                <w:b/>
                                <w:bCs/>
                                <w:color w:val="000000"/>
                                <w:spacing w:val="0"/>
                                <w:w w:val="100"/>
                                <w:position w:val="0"/>
                                <w:sz w:val="26"/>
                                <w:szCs w:val="26"/>
                                <w:shd w:val="clear" w:color="auto" w:fill="FFFFFF"/>
                                <w:lang w:val="en-US" w:eastAsia="en-US" w:bidi="en-US"/>
                              </w:rPr>
                              <w:t>nt</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-1663065</wp:posOffset>
                      </wp:positionH>
                      <wp:positionV relativeFrom="margin">
                        <wp:posOffset>11346180</wp:posOffset>
                      </wp:positionV>
                      <wp:extent cx="254000" cy="342900"/>
                      <wp:effectExtent l="0" t="0" r="0" b="0"/>
                      <wp:wrapNone/>
                      <wp:docPr id="126" name="Shape 126"/>
                      <wp:cNvGraphicFramePr/>
                      <a:graphic xmlns:a="http://schemas.openxmlformats.org/drawingml/2006/main">
                        <a:graphicData uri="http://schemas.microsoft.com/office/word/2010/wordprocessingShape">
                          <wps:wsp>
                            <wps:cNvSpPr txBox="1"/>
                            <wps:spPr>
                              <a:xfrm>
                                <a:off x="0" y="0"/>
                                <a:ext cx="254000" cy="3429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both"/>
                                    <w:rPr>
                                      <w:sz w:val="46"/>
                                      <w:szCs w:val="46"/>
                                    </w:rPr>
                                  </w:pPr>
                                  <w:r>
                                    <w:rPr>
                                      <w:color w:val="000000"/>
                                      <w:spacing w:val="0"/>
                                      <w:w w:val="100"/>
                                      <w:position w:val="0"/>
                                      <w:sz w:val="46"/>
                                      <w:szCs w:val="46"/>
                                      <w:shd w:val="clear" w:color="auto" w:fill="FFFFFF"/>
                                    </w:rPr>
                                    <w:t>更</w:t>
                                  </w:r>
                                </w:p>
                              </w:txbxContent>
                            </wps:txbx>
                            <wps:bodyPr lIns="0" tIns="0" rIns="0" bIns="0">
                              <a:noAutofit/>
                            </wps:bodyPr>
                          </wps:wsp>
                        </a:graphicData>
                      </a:graphic>
                    </wp:anchor>
                  </w:drawing>
                </mc:Choice>
                <mc:Fallback>
                  <w:pict>
                    <v:shape id="Shape 126" o:spid="_x0000_s1026" o:spt="202" type="#_x0000_t202" style="position:absolute;left:0pt;margin-left:-130.95pt;margin-top:893.4pt;height:27pt;width:20pt;mso-position-horizontal-relative:page;mso-position-vertical-relative:margin;z-index:503316480;mso-width-relative:page;mso-height-relative:page;" filled="f" stroked="f" coordsize="21600,21600" o:gfxdata="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ifg9vNsAAAAPAQAA&#10;DwAAAAAAAAABACAAAAAiAAAAZHJzL2Rvd25yZXYueG1sUEsBAhQAFAAAAAgAh07iQD9/BnykAQAA&#10;ZwMAAA4AAAAAAAAAAQAgAAAAKgEAAGRycy9lMm9Eb2MueG1sUEsFBgAAAAAGAAYAWQEAAEAFAAAA&#10;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both"/>
                              <w:rPr>
                                <w:sz w:val="46"/>
                                <w:szCs w:val="46"/>
                              </w:rPr>
                            </w:pPr>
                            <w:r>
                              <w:rPr>
                                <w:color w:val="000000"/>
                                <w:spacing w:val="0"/>
                                <w:w w:val="100"/>
                                <w:position w:val="0"/>
                                <w:sz w:val="46"/>
                                <w:szCs w:val="46"/>
                                <w:shd w:val="clear" w:color="auto" w:fill="FFFFFF"/>
                              </w:rPr>
                              <w:t>更</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457835</wp:posOffset>
                      </wp:positionH>
                      <wp:positionV relativeFrom="margin">
                        <wp:posOffset>13708380</wp:posOffset>
                      </wp:positionV>
                      <wp:extent cx="215900" cy="228600"/>
                      <wp:effectExtent l="0" t="0" r="0" b="0"/>
                      <wp:wrapNone/>
                      <wp:docPr id="128" name="Shape 128"/>
                      <wp:cNvGraphicFramePr/>
                      <a:graphic xmlns:a="http://schemas.openxmlformats.org/drawingml/2006/main">
                        <a:graphicData uri="http://schemas.microsoft.com/office/word/2010/wordprocessingShape">
                          <wps:wsp>
                            <wps:cNvSpPr txBox="1"/>
                            <wps:spPr>
                              <a:xfrm>
                                <a:off x="0" y="0"/>
                                <a:ext cx="215900" cy="2286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shd w:val="clear" w:color="auto" w:fill="FFFFFF"/>
                                      <w:lang w:val="en-US" w:eastAsia="en-US" w:bidi="en-US"/>
                                    </w:rPr>
                                    <w:t>• II</w:t>
                                  </w:r>
                                </w:p>
                              </w:txbxContent>
                            </wps:txbx>
                            <wps:bodyPr lIns="0" tIns="0" rIns="0" bIns="0">
                              <a:noAutofit/>
                            </wps:bodyPr>
                          </wps:wsp>
                        </a:graphicData>
                      </a:graphic>
                    </wp:anchor>
                  </w:drawing>
                </mc:Choice>
                <mc:Fallback>
                  <w:pict>
                    <v:shape id="Shape 128" o:spid="_x0000_s1026" o:spt="202" type="#_x0000_t202" style="position:absolute;left:0pt;margin-left:36.05pt;margin-top:1079.4pt;height:18pt;width:17pt;mso-position-horizontal-relative:page;mso-position-vertical-relative:margin;z-index:503316480;mso-width-relative:page;mso-height-relative:page;" filled="f" stroked="f" coordsize="21600,21600" o:gfxdata="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8/jJz2AAAAAwBAAAPAAAA&#10;AAAAAAEAIAAAACIAAABkcnMvZG93bnJldi54bWxQSwECFAAUAAAACACHTuJAlPiL96MBAABnAwAA&#10;DgAAAAAAAAABACAAAAAnAQAAZHJzL2Uyb0RvYy54bWxQSwUGAAAAAAYABgBZAQAAPAU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shd w:val="clear" w:color="auto" w:fill="FFFFFF"/>
                                <w:lang w:val="en-US" w:eastAsia="en-US" w:bidi="en-US"/>
                              </w:rPr>
                              <w:t>• II</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21235035</wp:posOffset>
                      </wp:positionH>
                      <wp:positionV relativeFrom="margin">
                        <wp:posOffset>11917680</wp:posOffset>
                      </wp:positionV>
                      <wp:extent cx="1333500" cy="1714500"/>
                      <wp:effectExtent l="0" t="0" r="0" b="0"/>
                      <wp:wrapNone/>
                      <wp:docPr id="130" name="Shape 130"/>
                      <wp:cNvGraphicFramePr/>
                      <a:graphic xmlns:a="http://schemas.openxmlformats.org/drawingml/2006/main">
                        <a:graphicData uri="http://schemas.microsoft.com/office/word/2010/wordprocessingShape">
                          <wps:wsp>
                            <wps:cNvSpPr txBox="1"/>
                            <wps:spPr>
                              <a:xfrm>
                                <a:off x="0" y="0"/>
                                <a:ext cx="1333500" cy="1714500"/>
                              </a:xfrm>
                              <a:prstGeom prst="rect">
                                <a:avLst/>
                              </a:prstGeom>
                              <a:noFill/>
                            </wps:spPr>
                            <wps:txbx>
                              <w:txbxContent>
                                <w:p>
                                  <w:pPr>
                                    <w:pStyle w:val="14"/>
                                    <w:keepNext w:val="0"/>
                                    <w:keepLines w:val="0"/>
                                    <w:widowControl w:val="0"/>
                                    <w:shd w:val="clear" w:color="auto" w:fill="auto"/>
                                    <w:bidi w:val="0"/>
                                    <w:spacing w:before="0" w:after="0" w:line="890" w:lineRule="exact"/>
                                    <w:ind w:left="0" w:right="0" w:firstLine="0"/>
                                    <w:jc w:val="both"/>
                                  </w:pPr>
                                  <w:r>
                                    <w:rPr>
                                      <w:color w:val="000000"/>
                                      <w:spacing w:val="0"/>
                                      <w:w w:val="100"/>
                                      <w:position w:val="0"/>
                                    </w:rPr>
                                    <w:t>证监会、 财政部、 国资委</w:t>
                                  </w:r>
                                </w:p>
                              </w:txbxContent>
                            </wps:txbx>
                            <wps:bodyPr lIns="0" tIns="0" rIns="0" bIns="0">
                              <a:noAutofit/>
                            </wps:bodyPr>
                          </wps:wsp>
                        </a:graphicData>
                      </a:graphic>
                    </wp:anchor>
                  </w:drawing>
                </mc:Choice>
                <mc:Fallback>
                  <w:pict>
                    <v:shape id="Shape 130" o:spid="_x0000_s1026" o:spt="202" type="#_x0000_t202" style="position:absolute;left:0pt;margin-left:1672.05pt;margin-top:938.4pt;height:135pt;width:105pt;mso-position-horizontal-relative:page;mso-position-vertical-relative:margin;z-index:503316480;mso-width-relative:page;mso-height-relative:page;" filled="f" stroked="f" coordsize="21600,21600" o:gfxdata="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QvX3PcAAAADwEA&#10;AA8AAAAAAAAAAQAgAAAAIgAAAGRycy9kb3ducmV2LnhtbFBLAQIUABQAAAAIAIdO4kA9A/iRpAEA&#10;AGkDAAAOAAAAAAAAAAEAIAAAACsBAABkcnMvZTJvRG9jLnhtbFBLBQYAAAAABgAGAFkBAABBBQAA&#10;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890" w:lineRule="exact"/>
                              <w:ind w:left="0" w:right="0" w:firstLine="0"/>
                              <w:jc w:val="both"/>
                            </w:pPr>
                            <w:r>
                              <w:rPr>
                                <w:color w:val="000000"/>
                                <w:spacing w:val="0"/>
                                <w:w w:val="100"/>
                                <w:position w:val="0"/>
                              </w:rPr>
                              <w:t>证监会、 财政部、 国资委</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-2501265</wp:posOffset>
                      </wp:positionH>
                      <wp:positionV relativeFrom="margin">
                        <wp:posOffset>7802880</wp:posOffset>
                      </wp:positionV>
                      <wp:extent cx="3606800" cy="1714500"/>
                      <wp:effectExtent l="0" t="0" r="0" b="0"/>
                      <wp:wrapNone/>
                      <wp:docPr id="132" name="Shape 132"/>
                      <wp:cNvGraphicFramePr/>
                      <a:graphic xmlns:a="http://schemas.openxmlformats.org/drawingml/2006/main">
                        <a:graphicData uri="http://schemas.microsoft.com/office/word/2010/wordprocessingShape">
                          <wps:wsp>
                            <wps:cNvSpPr txBox="1"/>
                            <wps:spPr>
                              <a:xfrm>
                                <a:off x="0" y="0"/>
                                <a:ext cx="3606800" cy="1714500"/>
                              </a:xfrm>
                              <a:prstGeom prst="rect">
                                <a:avLst/>
                              </a:prstGeom>
                              <a:noFill/>
                            </wps:spPr>
                            <wps:txbx>
                              <w:txbxContent>
                                <w:p>
                                  <w:pPr>
                                    <w:pStyle w:val="14"/>
                                    <w:keepNext w:val="0"/>
                                    <w:keepLines w:val="0"/>
                                    <w:widowControl w:val="0"/>
                                    <w:shd w:val="clear" w:color="auto" w:fill="auto"/>
                                    <w:bidi w:val="0"/>
                                    <w:spacing w:before="0" w:after="0" w:line="890" w:lineRule="exact"/>
                                    <w:ind w:left="0" w:right="0" w:firstLine="260"/>
                                    <w:jc w:val="both"/>
                                  </w:pPr>
                                  <w:r>
                                    <w:rPr>
                                      <w:color w:val="000000"/>
                                      <w:spacing w:val="0"/>
                                      <w:w w:val="100"/>
                                      <w:position w:val="0"/>
                                    </w:rPr>
                                    <w:t>（十三）将违法失信信 息作为独立基金销售 机构审批时的参考。</w:t>
                                  </w:r>
                                </w:p>
                              </w:txbxContent>
                            </wps:txbx>
                            <wps:bodyPr lIns="0" tIns="0" rIns="0" bIns="0">
                              <a:noAutofit/>
                            </wps:bodyPr>
                          </wps:wsp>
                        </a:graphicData>
                      </a:graphic>
                    </wp:anchor>
                  </w:drawing>
                </mc:Choice>
                <mc:Fallback>
                  <w:pict>
                    <v:shape id="Shape 132" o:spid="_x0000_s1026" o:spt="202" type="#_x0000_t202" style="position:absolute;left:0pt;margin-left:-196.95pt;margin-top:614.4pt;height:135pt;width:284pt;mso-position-horizontal-relative:page;mso-position-vertical-relative:margin;z-index:503316480;mso-width-relative:page;mso-height-relative:page;" filled="f" stroked="f" coordsize="21600,21600" o:gfxdata="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MQQ0NwAAAAO&#10;AQAADwAAAAAAAAABACAAAAAiAAAAZHJzL2Rvd25yZXYueG1sUEsBAhQAFAAAAAgAh07iQCBMci2m&#10;AQAAaQMAAA4AAAAAAAAAAQAgAAAAKwEAAGRycy9lMm9Eb2MueG1sUEsFBgAAAAAGAAYAWQEAAEMF&#10;A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890" w:lineRule="exact"/>
                              <w:ind w:left="0" w:right="0" w:firstLine="260"/>
                              <w:jc w:val="both"/>
                            </w:pPr>
                            <w:r>
                              <w:rPr>
                                <w:color w:val="000000"/>
                                <w:spacing w:val="0"/>
                                <w:w w:val="100"/>
                                <w:position w:val="0"/>
                              </w:rPr>
                              <w:t>（十三）将违法失信信 息作为独立基金销售 机构审批时的参考。</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7150735</wp:posOffset>
                      </wp:positionH>
                      <wp:positionV relativeFrom="margin">
                        <wp:posOffset>11282680</wp:posOffset>
                      </wp:positionV>
                      <wp:extent cx="177800" cy="203200"/>
                      <wp:effectExtent l="0" t="0" r="0" b="0"/>
                      <wp:wrapNone/>
                      <wp:docPr id="134" name="Shape 134"/>
                      <wp:cNvGraphicFramePr/>
                      <a:graphic xmlns:a="http://schemas.openxmlformats.org/drawingml/2006/main">
                        <a:graphicData uri="http://schemas.microsoft.com/office/word/2010/wordprocessingShape">
                          <wps:wsp>
                            <wps:cNvSpPr txBox="1"/>
                            <wps:spPr>
                              <a:xfrm>
                                <a:off x="0" y="0"/>
                                <a:ext cx="177800" cy="2032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CFD4E2"/>
                                      <w:spacing w:val="0"/>
                                      <w:w w:val="100"/>
                                      <w:position w:val="0"/>
                                      <w:sz w:val="30"/>
                                      <w:szCs w:val="30"/>
                                      <w:lang w:val="en-US" w:eastAsia="en-US" w:bidi="en-US"/>
                                    </w:rPr>
                                    <w:t>*</w:t>
                                  </w:r>
                                </w:p>
                              </w:txbxContent>
                            </wps:txbx>
                            <wps:bodyPr lIns="0" tIns="0" rIns="0" bIns="0">
                              <a:noAutofit/>
                            </wps:bodyPr>
                          </wps:wsp>
                        </a:graphicData>
                      </a:graphic>
                    </wp:anchor>
                  </w:drawing>
                </mc:Choice>
                <mc:Fallback>
                  <w:pict>
                    <v:shape id="Shape 134" o:spid="_x0000_s1026" o:spt="202" type="#_x0000_t202" style="position:absolute;left:0pt;margin-left:563.05pt;margin-top:888.4pt;height:16pt;width:14pt;mso-position-horizontal-relative:page;mso-position-vertical-relative:margin;z-index:503316480;mso-width-relative:page;mso-height-relative:page;" filled="f" stroked="f" coordsize="21600,21600" o:gfxdata="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QIREjaAAAADwEAAA8A&#10;AAAAAAAAAQAgAAAAIgAAAGRycy9kb3ducmV2LnhtbFBLAQIUABQAAAAIAIdO4kCrNQaIowEAAGcD&#10;AAAOAAAAAAAAAAEAIAAAACkBAABkcnMvZTJvRG9jLnhtbFBLBQYAAAAABgAGAFkBAAA+BQ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CFD4E2"/>
                                <w:spacing w:val="0"/>
                                <w:w w:val="100"/>
                                <w:position w:val="0"/>
                                <w:sz w:val="30"/>
                                <w:szCs w:val="30"/>
                                <w:lang w:val="en-US" w:eastAsia="en-US" w:bidi="en-US"/>
                              </w:rPr>
                              <w:t>*</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3366135</wp:posOffset>
                      </wp:positionH>
                      <wp:positionV relativeFrom="margin">
                        <wp:posOffset>10685780</wp:posOffset>
                      </wp:positionV>
                      <wp:extent cx="279400" cy="431800"/>
                      <wp:effectExtent l="0" t="0" r="0" b="0"/>
                      <wp:wrapNone/>
                      <wp:docPr id="136" name="Shape 136"/>
                      <wp:cNvGraphicFramePr/>
                      <a:graphic xmlns:a="http://schemas.openxmlformats.org/drawingml/2006/main">
                        <a:graphicData uri="http://schemas.microsoft.com/office/word/2010/wordprocessingShape">
                          <wps:wsp>
                            <wps:cNvSpPr txBox="1"/>
                            <wps:spPr>
                              <a:xfrm>
                                <a:off x="0" y="0"/>
                                <a:ext cx="279400" cy="431800"/>
                              </a:xfrm>
                              <a:prstGeom prst="rect">
                                <a:avLst/>
                              </a:prstGeom>
                              <a:noFill/>
                            </wps:spPr>
                            <wps:txbx>
                              <w:txbxContent>
                                <w:p>
                                  <w:pPr>
                                    <w:pStyle w:val="14"/>
                                    <w:keepNext w:val="0"/>
                                    <w:keepLines w:val="0"/>
                                    <w:widowControl w:val="0"/>
                                    <w:shd w:val="clear" w:color="auto" w:fill="auto"/>
                                    <w:bidi w:val="0"/>
                                    <w:spacing w:before="0" w:after="0" w:line="240" w:lineRule="auto"/>
                                    <w:ind w:left="0" w:right="0" w:firstLine="0"/>
                                    <w:jc w:val="both"/>
                                    <w:rPr>
                                      <w:sz w:val="58"/>
                                      <w:szCs w:val="58"/>
                                    </w:rPr>
                                  </w:pPr>
                                  <w:r>
                                    <w:rPr>
                                      <w:b/>
                                      <w:bCs/>
                                      <w:color w:val="000000"/>
                                      <w:spacing w:val="0"/>
                                      <w:w w:val="100"/>
                                      <w:position w:val="0"/>
                                      <w:sz w:val="58"/>
                                      <w:szCs w:val="58"/>
                                      <w:shd w:val="clear" w:color="auto" w:fill="FFFFFF"/>
                                    </w:rPr>
                                    <w:t>0!</w:t>
                                  </w:r>
                                </w:p>
                              </w:txbxContent>
                            </wps:txbx>
                            <wps:bodyPr lIns="0" tIns="0" rIns="0" bIns="0">
                              <a:noAutofit/>
                            </wps:bodyPr>
                          </wps:wsp>
                        </a:graphicData>
                      </a:graphic>
                    </wp:anchor>
                  </w:drawing>
                </mc:Choice>
                <mc:Fallback>
                  <w:pict>
                    <v:shape id="Shape 136" o:spid="_x0000_s1026" o:spt="202" type="#_x0000_t202" style="position:absolute;left:0pt;margin-left:265.05pt;margin-top:841.4pt;height:34pt;width:22pt;mso-position-horizontal-relative:page;mso-position-vertical-relative:margin;z-index:503316480;mso-width-relative:page;mso-height-relative:page;" filled="f" stroked="f" coordsize="21600,21600" o:gfxdata="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jfZu32gAAAA0BAAAP&#10;AAAAAAAAAAEAIAAAACIAAABkcnMvZG93bnJldi54bWxQSwECFAAUAAAACACHTuJAO1+Wz6QBAABn&#10;AwAADgAAAAAAAAABACAAAAApAQAAZHJzL2Uyb0RvYy54bWxQSwUGAAAAAAYABgBZAQAAPwU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0" w:right="0" w:firstLine="0"/>
                              <w:jc w:val="both"/>
                              <w:rPr>
                                <w:sz w:val="58"/>
                                <w:szCs w:val="58"/>
                              </w:rPr>
                            </w:pPr>
                            <w:r>
                              <w:rPr>
                                <w:b/>
                                <w:bCs/>
                                <w:color w:val="000000"/>
                                <w:spacing w:val="0"/>
                                <w:w w:val="100"/>
                                <w:position w:val="0"/>
                                <w:sz w:val="58"/>
                                <w:szCs w:val="58"/>
                                <w:shd w:val="clear" w:color="auto" w:fill="FFFFFF"/>
                              </w:rPr>
                              <w:t>0!</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9982835</wp:posOffset>
                      </wp:positionH>
                      <wp:positionV relativeFrom="margin">
                        <wp:posOffset>7891780</wp:posOffset>
                      </wp:positionV>
                      <wp:extent cx="241300" cy="431800"/>
                      <wp:effectExtent l="0" t="0" r="0" b="0"/>
                      <wp:wrapNone/>
                      <wp:docPr id="138" name="Shape 138"/>
                      <wp:cNvGraphicFramePr/>
                      <a:graphic xmlns:a="http://schemas.openxmlformats.org/drawingml/2006/main">
                        <a:graphicData uri="http://schemas.microsoft.com/office/word/2010/wordprocessingShape">
                          <wps:wsp>
                            <wps:cNvSpPr txBox="1"/>
                            <wps:spPr>
                              <a:xfrm>
                                <a:off x="0" y="0"/>
                                <a:ext cx="241300" cy="431800"/>
                              </a:xfrm>
                              <a:prstGeom prst="rect">
                                <a:avLst/>
                              </a:prstGeom>
                              <a:noFill/>
                            </wps:spPr>
                            <wps:txbx>
                              <w:txbxContent>
                                <w:p>
                                  <w:pPr>
                                    <w:pStyle w:val="14"/>
                                    <w:keepNext w:val="0"/>
                                    <w:keepLines w:val="0"/>
                                    <w:widowControl w:val="0"/>
                                    <w:shd w:val="clear" w:color="auto" w:fill="auto"/>
                                    <w:bidi w:val="0"/>
                                    <w:spacing w:before="0" w:after="0" w:line="240" w:lineRule="auto"/>
                                    <w:ind w:left="-20" w:right="0" w:firstLine="0"/>
                                    <w:jc w:val="center"/>
                                    <w:rPr>
                                      <w:sz w:val="58"/>
                                      <w:szCs w:val="58"/>
                                    </w:rPr>
                                  </w:pPr>
                                  <w:r>
                                    <w:rPr>
                                      <w:b/>
                                      <w:bCs/>
                                      <w:color w:val="000000"/>
                                      <w:spacing w:val="0"/>
                                      <w:w w:val="100"/>
                                      <w:position w:val="0"/>
                                      <w:sz w:val="58"/>
                                      <w:szCs w:val="58"/>
                                      <w:shd w:val="clear" w:color="auto" w:fill="FFFFFF"/>
                                      <w:lang w:val="en-US" w:eastAsia="en-US" w:bidi="en-US"/>
                                    </w:rPr>
                                    <w:t>U!</w:t>
                                  </w:r>
                                </w:p>
                              </w:txbxContent>
                            </wps:txbx>
                            <wps:bodyPr lIns="0" tIns="0" rIns="0" bIns="0">
                              <a:noAutofit/>
                            </wps:bodyPr>
                          </wps:wsp>
                        </a:graphicData>
                      </a:graphic>
                    </wp:anchor>
                  </w:drawing>
                </mc:Choice>
                <mc:Fallback>
                  <w:pict>
                    <v:shape id="Shape 138" o:spid="_x0000_s1026" o:spt="202" type="#_x0000_t202" style="position:absolute;left:0pt;margin-left:786.05pt;margin-top:621.4pt;height:34pt;width:19pt;mso-position-horizontal-relative:page;mso-position-vertical-relative:margin;z-index:503316480;mso-width-relative:page;mso-height-relative:page;" filled="f" stroked="f" coordsize="21600,21600" o:gfxdata="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ihBltkAAAAPAQAADwAA&#10;AAAAAAABACAAAAAiAAAAZHJzL2Rvd25yZXYueG1sUEsBAhQAFAAAAAgAh07iQPqqEkejAQAAZwMA&#10;AA4AAAAAAAAAAQAgAAAAKAEAAGRycy9lMm9Eb2MueG1sUEsFBgAAAAAGAAYAWQEAAD0FA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20" w:right="0" w:firstLine="0"/>
                              <w:jc w:val="center"/>
                              <w:rPr>
                                <w:sz w:val="58"/>
                                <w:szCs w:val="58"/>
                              </w:rPr>
                            </w:pPr>
                            <w:r>
                              <w:rPr>
                                <w:b/>
                                <w:bCs/>
                                <w:color w:val="000000"/>
                                <w:spacing w:val="0"/>
                                <w:w w:val="100"/>
                                <w:position w:val="0"/>
                                <w:sz w:val="58"/>
                                <w:szCs w:val="58"/>
                                <w:shd w:val="clear" w:color="auto" w:fill="FFFFFF"/>
                                <w:lang w:val="en-US" w:eastAsia="en-US" w:bidi="en-US"/>
                              </w:rPr>
                              <w:t>U!</w:t>
                            </w:r>
                          </w:p>
                        </w:txbxContent>
                      </v:textbox>
                    </v:shape>
                  </w:pict>
                </mc:Fallback>
              </mc:AlternateContent>
            </w:r>
            <w:r>
              <w:rPr>
                <w:rFonts w:hint="eastAsia" w:ascii="宋体" w:hAnsi="宋体" w:eastAsia="宋体" w:cs="宋体"/>
              </w:rPr>
              <mc:AlternateContent>
                <mc:Choice Requires="wps">
                  <w:drawing>
                    <wp:anchor distT="0" distB="0" distL="0" distR="0" simplePos="0" relativeHeight="503316480" behindDoc="0" locked="0" layoutInCell="1" allowOverlap="1">
                      <wp:simplePos x="0" y="0"/>
                      <wp:positionH relativeFrom="page">
                        <wp:posOffset>10719435</wp:posOffset>
                      </wp:positionH>
                      <wp:positionV relativeFrom="margin">
                        <wp:posOffset>8133080</wp:posOffset>
                      </wp:positionV>
                      <wp:extent cx="241300" cy="228600"/>
                      <wp:effectExtent l="0" t="0" r="0" b="0"/>
                      <wp:wrapNone/>
                      <wp:docPr id="140" name="Shape 140"/>
                      <wp:cNvGraphicFramePr/>
                      <a:graphic xmlns:a="http://schemas.openxmlformats.org/drawingml/2006/main">
                        <a:graphicData uri="http://schemas.microsoft.com/office/word/2010/wordprocessingShape">
                          <wps:wsp>
                            <wps:cNvSpPr txBox="1"/>
                            <wps:spPr>
                              <a:xfrm>
                                <a:off x="0" y="0"/>
                                <a:ext cx="241300" cy="228600"/>
                              </a:xfrm>
                              <a:prstGeom prst="rect">
                                <a:avLst/>
                              </a:prstGeom>
                              <a:noFill/>
                            </wps:spPr>
                            <wps:txbx>
                              <w:txbxContent>
                                <w:p>
                                  <w:pPr>
                                    <w:pStyle w:val="14"/>
                                    <w:keepNext w:val="0"/>
                                    <w:keepLines w:val="0"/>
                                    <w:widowControl w:val="0"/>
                                    <w:shd w:val="clear" w:color="auto" w:fill="auto"/>
                                    <w:bidi w:val="0"/>
                                    <w:spacing w:before="0" w:after="0" w:line="240" w:lineRule="auto"/>
                                    <w:ind w:left="-20" w:right="0" w:firstLine="0"/>
                                    <w:jc w:val="center"/>
                                    <w:rPr>
                                      <w:sz w:val="30"/>
                                      <w:szCs w:val="30"/>
                                    </w:rPr>
                                  </w:pPr>
                                  <w:r>
                                    <w:rPr>
                                      <w:rFonts w:ascii="Times New Roman" w:hAnsi="Times New Roman" w:eastAsia="Times New Roman" w:cs="Times New Roman"/>
                                      <w:color w:val="000000"/>
                                      <w:spacing w:val="0"/>
                                      <w:w w:val="100"/>
                                      <w:position w:val="0"/>
                                      <w:sz w:val="30"/>
                                      <w:szCs w:val="30"/>
                                      <w:shd w:val="clear" w:color="auto" w:fill="FFFFFF"/>
                                      <w:lang w:val="en-US" w:eastAsia="en-US" w:bidi="en-US"/>
                                    </w:rPr>
                                    <w:t>A</w:t>
                                  </w:r>
                                </w:p>
                              </w:txbxContent>
                            </wps:txbx>
                            <wps:bodyPr lIns="0" tIns="0" rIns="0" bIns="0">
                              <a:noAutofit/>
                            </wps:bodyPr>
                          </wps:wsp>
                        </a:graphicData>
                      </a:graphic>
                    </wp:anchor>
                  </w:drawing>
                </mc:Choice>
                <mc:Fallback>
                  <w:pict>
                    <v:shape id="Shape 140" o:spid="_x0000_s1026" o:spt="202" type="#_x0000_t202" style="position:absolute;left:0pt;margin-left:844.05pt;margin-top:640.4pt;height:18pt;width:19pt;mso-position-horizontal-relative:page;mso-position-vertical-relative:margin;z-index:503316480;mso-width-relative:page;mso-height-relative:page;" filled="f" stroked="f" coordsize="21600,21600" o:gfxdata="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6i2+o2AAAAA8BAAAPAAAA&#10;AAAAAAEAIAAAACIAAABkcnMvZG93bnJldi54bWxQSwECFAAUAAAACACHTuJAzDAoTKMBAABnAwAA&#10;DgAAAAAAAAABACAAAAAnAQAAZHJzL2Uyb0RvYy54bWxQSwUGAAAAAAYABgBZAQAAPAUAAAAA&#10;">
                      <v:fill on="f" focussize="0,0"/>
                      <v:stroke on="f"/>
                      <v:imagedata o:title=""/>
                      <o:lock v:ext="edit" aspectratio="f"/>
                      <v:textbox inset="0mm,0mm,0mm,0mm">
                        <w:txbxContent>
                          <w:p>
                            <w:pPr>
                              <w:pStyle w:val="14"/>
                              <w:keepNext w:val="0"/>
                              <w:keepLines w:val="0"/>
                              <w:widowControl w:val="0"/>
                              <w:shd w:val="clear" w:color="auto" w:fill="auto"/>
                              <w:bidi w:val="0"/>
                              <w:spacing w:before="0" w:after="0" w:line="240" w:lineRule="auto"/>
                              <w:ind w:left="-20" w:right="0" w:firstLine="0"/>
                              <w:jc w:val="center"/>
                              <w:rPr>
                                <w:sz w:val="30"/>
                                <w:szCs w:val="30"/>
                              </w:rPr>
                            </w:pPr>
                            <w:r>
                              <w:rPr>
                                <w:rFonts w:ascii="Times New Roman" w:hAnsi="Times New Roman" w:eastAsia="Times New Roman" w:cs="Times New Roman"/>
                                <w:color w:val="000000"/>
                                <w:spacing w:val="0"/>
                                <w:w w:val="100"/>
                                <w:position w:val="0"/>
                                <w:sz w:val="30"/>
                                <w:szCs w:val="30"/>
                                <w:shd w:val="clear" w:color="auto" w:fill="FFFFFF"/>
                                <w:lang w:val="en-US" w:eastAsia="en-US" w:bidi="en-US"/>
                              </w:rPr>
                              <w:t>A</w:t>
                            </w:r>
                          </w:p>
                        </w:txbxContent>
                      </v:textbox>
                    </v:shape>
                  </w:pict>
                </mc:Fallback>
              </mc:AlternateContent>
            </w:r>
            <w:r>
              <w:rPr>
                <w:rFonts w:hint="eastAsia" w:ascii="宋体" w:hAnsi="宋体" w:eastAsia="宋体" w:cs="宋体"/>
              </w:rPr>
              <w:t>《证券投资基金销售管理办法》（中国证券监督管理委员会令第91号）</w:t>
            </w:r>
          </w:p>
          <w:p>
            <w:pPr>
              <w:bidi w:val="0"/>
              <w:ind w:firstLine="480" w:firstLineChars="200"/>
              <w:rPr>
                <w:rFonts w:hint="eastAsia" w:ascii="宋体" w:hAnsi="宋体" w:eastAsia="宋体" w:cs="宋体"/>
              </w:rPr>
            </w:pPr>
            <w:r>
              <w:rPr>
                <w:rFonts w:hint="eastAsia" w:ascii="宋体" w:hAnsi="宋体" w:eastAsia="宋体" w:cs="宋体"/>
              </w:rPr>
              <w:t>第十六条</w:t>
            </w:r>
            <w:r>
              <w:rPr>
                <w:rFonts w:hint="eastAsia" w:ascii="宋体" w:hAnsi="宋体" w:eastAsia="宋体" w:cs="宋体"/>
                <w:lang w:val="en-US" w:eastAsia="zh-CN"/>
              </w:rPr>
              <w:t xml:space="preserve">  </w:t>
            </w:r>
            <w:r>
              <w:rPr>
                <w:rFonts w:hint="eastAsia" w:ascii="宋体" w:hAnsi="宋体" w:eastAsia="宋体" w:cs="宋体"/>
              </w:rPr>
              <w:t>独立基金销</w:t>
            </w:r>
            <w:r>
              <w:rPr>
                <w:rFonts w:hint="eastAsia" w:ascii="宋体" w:hAnsi="宋体" w:eastAsia="宋体" w:cs="宋体"/>
                <w:lang w:eastAsia="zh-CN"/>
              </w:rPr>
              <w:t>售</w:t>
            </w:r>
            <w:r>
              <w:rPr>
                <w:rFonts w:hint="eastAsia" w:ascii="宋体" w:hAnsi="宋体" w:eastAsia="宋体" w:cs="宋体"/>
              </w:rPr>
              <w:t>机构以有限责任公司形式设立的，其股东可以是企业法人或者自然人。企业法人参股独立基金销售机构，应当具备以下条件：（二）最近3年没有受到刑事处罚；（三）最近3年没有受到金融监管、行业监管、工商、税务等行政管理部门的行政处罚；（四）最近3年在自律管理、商业银行等机构无不良记录。自然人参股独立基金销售机构，应当</w:t>
            </w:r>
            <w:r>
              <w:rPr>
                <w:rFonts w:hint="eastAsia" w:ascii="宋体" w:hAnsi="宋体" w:eastAsia="宋体" w:cs="宋体"/>
                <w:lang w:eastAsia="zh-CN"/>
              </w:rPr>
              <w:t>具</w:t>
            </w:r>
            <w:r>
              <w:rPr>
                <w:rFonts w:hint="eastAsia" w:ascii="宋体" w:hAnsi="宋体" w:eastAsia="宋体" w:cs="宋体"/>
              </w:rPr>
              <w:t>备以下条件：（二）最近3年没有受到刑事处罚：（三）最近3年没有受到金融监管、行业监管、工商、税务等行政管理部门的行政处罚；（四）在自律管理、商业银行等机构无不良记录：（六）最近3年无其他重大不良诚信记录。</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第十七条</w:t>
            </w:r>
            <w:r>
              <w:rPr>
                <w:rFonts w:hint="eastAsia" w:ascii="宋体" w:hAnsi="宋体" w:eastAsia="宋体" w:cs="宋体"/>
                <w:lang w:val="en-US" w:eastAsia="zh-CN"/>
              </w:rPr>
              <w:t xml:space="preserve">  </w:t>
            </w:r>
            <w:r>
              <w:rPr>
                <w:rFonts w:hint="eastAsia" w:ascii="宋体" w:hAnsi="宋体" w:eastAsia="宋体" w:cs="宋体"/>
              </w:rPr>
              <w:t>独立基金销售机构以合伙企业形式设立的，其合伙人应当具备以下条件：</w:t>
            </w:r>
            <w:r>
              <w:rPr>
                <w:rFonts w:hint="eastAsia" w:ascii="宋体" w:hAnsi="宋体" w:eastAsia="宋体" w:cs="宋体"/>
                <w:lang w:val="en-US" w:eastAsia="en-US"/>
              </w:rPr>
              <w:t>（</w:t>
            </w:r>
            <w:r>
              <w:rPr>
                <w:rFonts w:hint="eastAsia" w:ascii="宋体" w:hAnsi="宋体" w:eastAsia="宋体" w:cs="宋体"/>
                <w:lang w:val="en-US" w:eastAsia="zh-CN"/>
              </w:rPr>
              <w:t>一</w:t>
            </w:r>
            <w:r>
              <w:rPr>
                <w:rFonts w:hint="eastAsia" w:ascii="宋体" w:hAnsi="宋体" w:eastAsia="宋体" w:cs="宋体"/>
                <w:lang w:val="en-US" w:eastAsia="en-US"/>
              </w:rPr>
              <w:t>）</w:t>
            </w:r>
            <w:r>
              <w:rPr>
                <w:rFonts w:hint="eastAsia" w:ascii="宋体" w:hAnsi="宋体" w:eastAsia="宋体" w:cs="宋体"/>
              </w:rPr>
              <w:t>最近3年没有受到刑事处罚；（四）在自律管理、商业银行等机构无不良记录；（六）最近3年无其他重大不良诚信记录。</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证监会</w:t>
            </w:r>
          </w:p>
        </w:tc>
      </w:tr>
      <w:tr>
        <w:tblPrEx>
          <w:tblCellMar>
            <w:top w:w="0" w:type="dxa"/>
            <w:left w:w="10" w:type="dxa"/>
            <w:bottom w:w="0" w:type="dxa"/>
            <w:right w:w="10" w:type="dxa"/>
          </w:tblCellMar>
        </w:tblPrEx>
        <w:trPr>
          <w:trHeight w:val="227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r>
              <w:rPr>
                <w:rFonts w:hint="eastAsia"/>
                <w:sz w:val="24"/>
                <w:szCs w:val="24"/>
                <w:lang w:eastAsia="zh-CN"/>
              </w:rPr>
              <w:t>（十四）将违法失信信息作为境内上市公司实行股权激励计划或相关人员成为股权激励对象事中事后监管的重要参考。</w:t>
            </w: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000000"/>
                <w:spacing w:val="0"/>
                <w:w w:val="100"/>
                <w:position w:val="0"/>
              </w:rPr>
            </w:pPr>
            <w:r>
              <w:rPr>
                <w:rFonts w:hint="eastAsia" w:ascii="宋体" w:hAnsi="宋体" w:eastAsia="宋体" w:cs="宋体"/>
                <w:color w:val="000000"/>
                <w:spacing w:val="0"/>
                <w:w w:val="100"/>
                <w:position w:val="0"/>
              </w:rPr>
              <w:t>《国有控股上市公司（境内）实施股权激励试行办法》（国资发分配</w:t>
            </w:r>
            <w:r>
              <w:rPr>
                <w:rFonts w:hint="eastAsia" w:ascii="宋体" w:hAnsi="宋体" w:eastAsia="宋体" w:cs="宋体"/>
                <w:b w:val="0"/>
                <w:bCs w:val="0"/>
                <w:color w:val="000000"/>
                <w:spacing w:val="0"/>
                <w:w w:val="100"/>
                <w:position w:val="0"/>
              </w:rPr>
              <w:t>〔</w:t>
            </w:r>
            <w:r>
              <w:rPr>
                <w:rFonts w:hint="eastAsia" w:ascii="宋体" w:hAnsi="宋体" w:eastAsia="宋体" w:cs="宋体"/>
                <w:b w:val="0"/>
                <w:bCs w:val="0"/>
                <w:color w:val="000000"/>
                <w:spacing w:val="0"/>
                <w:w w:val="100"/>
                <w:position w:val="0"/>
                <w:szCs w:val="58"/>
              </w:rPr>
              <w:t>2006</w:t>
            </w:r>
            <w:r>
              <w:rPr>
                <w:rFonts w:hint="eastAsia" w:ascii="宋体" w:hAnsi="宋体" w:eastAsia="宋体" w:cs="宋体"/>
                <w:b w:val="0"/>
                <w:bCs w:val="0"/>
                <w:color w:val="000000"/>
                <w:spacing w:val="0"/>
                <w:w w:val="100"/>
                <w:position w:val="0"/>
                <w:szCs w:val="58"/>
                <w:lang w:eastAsia="zh-CN"/>
              </w:rPr>
              <w:t>〕</w:t>
            </w:r>
            <w:r>
              <w:rPr>
                <w:rFonts w:hint="eastAsia" w:ascii="宋体" w:hAnsi="宋体" w:eastAsia="宋体" w:cs="宋体"/>
                <w:b w:val="0"/>
                <w:bCs w:val="0"/>
                <w:color w:val="000000"/>
                <w:spacing w:val="0"/>
                <w:w w:val="100"/>
                <w:position w:val="0"/>
                <w:szCs w:val="58"/>
              </w:rPr>
              <w:t>175</w:t>
            </w:r>
            <w:r>
              <w:rPr>
                <w:rFonts w:hint="eastAsia" w:ascii="宋体" w:hAnsi="宋体" w:eastAsia="宋体" w:cs="宋体"/>
                <w:color w:val="000000"/>
                <w:spacing w:val="0"/>
                <w:w w:val="100"/>
                <w:position w:val="0"/>
              </w:rPr>
              <w:t>号）</w:t>
            </w:r>
          </w:p>
          <w:p>
            <w:pPr>
              <w:bidi w:val="0"/>
              <w:ind w:firstLine="480" w:firstLineChars="200"/>
              <w:rPr>
                <w:rFonts w:hint="eastAsia" w:ascii="宋体" w:hAnsi="宋体" w:eastAsia="宋体" w:cs="宋体"/>
              </w:rPr>
            </w:pPr>
            <w:r>
              <w:rPr>
                <w:rFonts w:hint="eastAsia" w:ascii="宋体" w:hAnsi="宋体" w:eastAsia="宋体" w:cs="宋体"/>
              </w:rPr>
              <w:t>第五条</w:t>
            </w:r>
            <w:r>
              <w:rPr>
                <w:rFonts w:hint="eastAsia" w:ascii="宋体" w:hAnsi="宋体" w:eastAsia="宋体" w:cs="宋体"/>
                <w:lang w:val="en-US" w:eastAsia="zh-CN"/>
              </w:rPr>
              <w:t xml:space="preserve">  </w:t>
            </w:r>
            <w:r>
              <w:rPr>
                <w:rFonts w:hint="eastAsia" w:ascii="宋体" w:hAnsi="宋体" w:eastAsia="宋体" w:cs="宋体"/>
              </w:rPr>
              <w:t>实施股权激励的上市公司应具备以下条件：</w:t>
            </w:r>
          </w:p>
          <w:p>
            <w:pPr>
              <w:bidi w:val="0"/>
              <w:ind w:firstLine="480" w:firstLineChars="200"/>
              <w:rPr>
                <w:rFonts w:hint="eastAsia" w:ascii="宋体" w:hAnsi="宋体" w:eastAsia="宋体" w:cs="宋体"/>
              </w:rPr>
            </w:pPr>
            <w:bookmarkStart w:id="40" w:name="bookmark50"/>
            <w:r>
              <w:rPr>
                <w:rFonts w:hint="eastAsia" w:ascii="宋体" w:hAnsi="宋体" w:eastAsia="宋体" w:cs="宋体"/>
              </w:rPr>
              <w:t>（</w:t>
            </w:r>
            <w:bookmarkEnd w:id="40"/>
            <w:r>
              <w:rPr>
                <w:rFonts w:hint="eastAsia" w:ascii="宋体" w:hAnsi="宋体" w:eastAsia="宋体" w:cs="宋体"/>
              </w:rPr>
              <w:t>1）公司治理结构规范，股东会、</w:t>
            </w:r>
            <w:r>
              <w:rPr>
                <w:rFonts w:hint="eastAsia" w:ascii="宋体" w:hAnsi="宋体" w:eastAsia="宋体" w:cs="宋体"/>
                <w:lang w:eastAsia="zh-CN"/>
              </w:rPr>
              <w:t>董事</w:t>
            </w:r>
            <w:r>
              <w:rPr>
                <w:rFonts w:hint="eastAsia" w:ascii="宋体" w:hAnsi="宋体" w:eastAsia="宋体" w:cs="宋体"/>
              </w:rPr>
              <w:t>会、经理层组织健全，职责明确。外部董事（含独立董事，下同）占董事会成员半数以上；</w:t>
            </w:r>
          </w:p>
          <w:p>
            <w:pPr>
              <w:bidi w:val="0"/>
              <w:ind w:firstLine="480" w:firstLineChars="200"/>
              <w:rPr>
                <w:rFonts w:hint="eastAsia" w:ascii="宋体" w:hAnsi="宋体" w:eastAsia="宋体" w:cs="宋体"/>
              </w:rPr>
            </w:pPr>
            <w:bookmarkStart w:id="41" w:name="bookmark51"/>
            <w:r>
              <w:rPr>
                <w:rFonts w:hint="eastAsia" w:ascii="宋体" w:hAnsi="宋体" w:eastAsia="宋体" w:cs="宋体"/>
              </w:rPr>
              <w:t>（</w:t>
            </w:r>
            <w:bookmarkEnd w:id="41"/>
            <w:r>
              <w:rPr>
                <w:rFonts w:hint="eastAsia" w:ascii="宋体" w:hAnsi="宋体" w:eastAsia="宋体" w:cs="宋体"/>
              </w:rPr>
              <w:t>2）薪酬委员会由外部董事构成，且薪酬委员会制度健全，议事规则完善，运行规范；</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000000"/>
                <w:spacing w:val="0"/>
                <w:w w:val="100"/>
                <w:position w:val="0"/>
              </w:rPr>
            </w:pPr>
            <w:bookmarkStart w:id="42" w:name="bookmark52"/>
            <w:r>
              <w:rPr>
                <w:rFonts w:hint="eastAsia" w:ascii="宋体" w:hAnsi="宋体" w:eastAsia="宋体" w:cs="宋体"/>
              </w:rPr>
              <w:t>（</w:t>
            </w:r>
            <w:bookmarkEnd w:id="42"/>
            <w:r>
              <w:rPr>
                <w:rFonts w:hint="eastAsia" w:ascii="宋体" w:hAnsi="宋体" w:eastAsia="宋体" w:cs="宋体"/>
              </w:rPr>
              <w:t>3）内部控制制度和绩效考核体系健全，基础管理制度规范，建立了符合市场经济和现代企业制度要求的劳动</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证监会、财政部、国资委</w:t>
            </w:r>
          </w:p>
        </w:tc>
      </w:tr>
      <w:tr>
        <w:tblPrEx>
          <w:tblCellMar>
            <w:top w:w="0" w:type="dxa"/>
            <w:left w:w="10" w:type="dxa"/>
            <w:bottom w:w="0" w:type="dxa"/>
            <w:right w:w="10" w:type="dxa"/>
          </w:tblCellMar>
        </w:tblPrEx>
        <w:trPr>
          <w:trHeight w:val="732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用工、薪酬福利制度及绩效考核体系；</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bookmarkStart w:id="43" w:name="bookmark53"/>
            <w:r>
              <w:rPr>
                <w:rFonts w:hint="eastAsia" w:ascii="宋体" w:hAnsi="宋体" w:eastAsia="宋体" w:cs="宋体"/>
              </w:rPr>
              <w:t>（</w:t>
            </w:r>
            <w:bookmarkEnd w:id="43"/>
            <w:r>
              <w:rPr>
                <w:rFonts w:hint="eastAsia" w:ascii="宋体" w:hAnsi="宋体" w:eastAsia="宋体" w:cs="宋体"/>
              </w:rPr>
              <w:t>4）发展战略明确，资产质量和财务状况良好，经营业绩稳健；近三年无财务违法违规行为和不良记录；</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bookmarkStart w:id="44" w:name="bookmark54"/>
            <w:r>
              <w:rPr>
                <w:rFonts w:hint="eastAsia" w:ascii="宋体" w:hAnsi="宋体" w:eastAsia="宋体" w:cs="宋体"/>
              </w:rPr>
              <w:t>（</w:t>
            </w:r>
            <w:bookmarkEnd w:id="44"/>
            <w:r>
              <w:rPr>
                <w:rFonts w:hint="eastAsia" w:ascii="宋体" w:hAnsi="宋体" w:eastAsia="宋体" w:cs="宋体"/>
              </w:rPr>
              <w:t>5）证券监管部门规定的其他条件。</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《上市公司股权激励管理办法》（中国证券监督管理委员会令第126号）</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r>
              <w:rPr>
                <w:rFonts w:hint="eastAsia" w:ascii="宋体" w:hAnsi="宋体" w:eastAsia="宋体" w:cs="宋体"/>
              </w:rPr>
              <w:t>第七条</w:t>
            </w:r>
            <w:r>
              <w:rPr>
                <w:rFonts w:hint="eastAsia" w:ascii="宋体" w:hAnsi="宋体" w:eastAsia="宋体" w:cs="宋体"/>
                <w:lang w:val="en-US" w:eastAsia="zh-CN"/>
              </w:rPr>
              <w:t xml:space="preserve">  </w:t>
            </w:r>
            <w:r>
              <w:rPr>
                <w:rFonts w:hint="eastAsia" w:ascii="宋体" w:hAnsi="宋体" w:eastAsia="宋体" w:cs="宋体"/>
              </w:rPr>
              <w:t>上市公司具有下列情形之一的，不得实行股权激励：</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 xml:space="preserve">最近一个会计年度财务会计报告被注册会计师出具否定意见或者无法表示意见的审计报告； </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 xml:space="preserve">最近一个会计年度财务报告内部控制被注册会计师出具否定意见或无法表示意见的审计报告； </w:t>
            </w:r>
          </w:p>
          <w:p>
            <w:pPr>
              <w:keepNext w:val="0"/>
              <w:keepLines w:val="0"/>
              <w:pageBreakBefore w:val="0"/>
              <w:widowControl w:val="0"/>
              <w:kinsoku/>
              <w:wordWrap/>
              <w:overflowPunct/>
              <w:topLinePunct w:val="0"/>
              <w:autoSpaceDE/>
              <w:autoSpaceDN/>
              <w:bidi w:val="0"/>
              <w:adjustRightInd/>
              <w:snapToGrid/>
              <w:spacing w:line="280" w:lineRule="exact"/>
              <w:ind w:left="480" w:leftChars="200" w:firstLine="0" w:firstLineChars="0"/>
              <w:textAlignment w:val="auto"/>
              <w:rPr>
                <w:rFonts w:hint="eastAsia" w:ascii="宋体" w:hAnsi="宋体" w:eastAsia="宋体" w:cs="宋体"/>
              </w:rPr>
            </w:pPr>
            <w:r>
              <w:rPr>
                <w:rFonts w:hint="eastAsia" w:ascii="宋体" w:hAnsi="宋体" w:eastAsia="宋体" w:cs="宋体"/>
                <w:lang w:eastAsia="zh-CN"/>
              </w:rPr>
              <w:t>（三）</w:t>
            </w:r>
            <w:r>
              <w:rPr>
                <w:rFonts w:hint="eastAsia" w:ascii="宋体" w:hAnsi="宋体" w:eastAsia="宋体" w:cs="宋体"/>
              </w:rPr>
              <w:t xml:space="preserve">上市后最近36个月内出现过未按法律法规、公司章程、公开承诺进行利润分配的情形； </w:t>
            </w:r>
            <w:r>
              <w:rPr>
                <w:rFonts w:hint="eastAsia" w:ascii="宋体" w:hAnsi="宋体" w:eastAsia="宋体" w:cs="宋体"/>
                <w:lang w:eastAsia="zh-CN"/>
              </w:rPr>
              <w:t>（四）</w:t>
            </w:r>
            <w:r>
              <w:rPr>
                <w:rFonts w:hint="eastAsia" w:ascii="宋体" w:hAnsi="宋体" w:eastAsia="宋体" w:cs="宋体"/>
              </w:rPr>
              <w:t>法律法规规定不得实行股权激励的；</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中国证监会认定的其他情形。</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r>
              <w:rPr>
                <w:rFonts w:hint="eastAsia" w:ascii="宋体" w:hAnsi="宋体" w:eastAsia="宋体" w:cs="宋体"/>
              </w:rPr>
              <w:t xml:space="preserve">第八条 </w:t>
            </w:r>
            <w:r>
              <w:rPr>
                <w:rFonts w:hint="eastAsia" w:ascii="宋体" w:hAnsi="宋体" w:eastAsia="宋体" w:cs="宋体"/>
                <w:lang w:val="en-US" w:eastAsia="zh-CN"/>
              </w:rPr>
              <w:t xml:space="preserve"> </w:t>
            </w:r>
            <w:r>
              <w:rPr>
                <w:rFonts w:hint="eastAsia" w:ascii="宋体" w:hAnsi="宋体" w:eastAsia="宋体" w:cs="宋体"/>
              </w:rPr>
              <w:t>激励对象可以包括上市公司的董事、高级管理人员、核心技术人员或者核心业务人员，以及公司认为应当激励的对公司经营业绩和未来发展有直接影响的其他员</w:t>
            </w:r>
            <w:r>
              <w:rPr>
                <w:rFonts w:hint="eastAsia" w:ascii="宋体" w:hAnsi="宋体" w:eastAsia="宋体" w:cs="宋体"/>
                <w:lang w:eastAsia="zh-CN"/>
              </w:rPr>
              <w:t>工</w:t>
            </w:r>
            <w:r>
              <w:rPr>
                <w:rFonts w:hint="eastAsia" w:ascii="宋体" w:hAnsi="宋体" w:eastAsia="宋体" w:cs="宋体"/>
              </w:rPr>
              <w:t>,但不应当包括独立董事和</w:t>
            </w:r>
            <w:r>
              <w:rPr>
                <w:rFonts w:hint="eastAsia" w:ascii="宋体" w:hAnsi="宋体" w:eastAsia="宋体" w:cs="宋体"/>
                <w:lang w:val="zh-CN" w:eastAsia="zh-CN"/>
              </w:rPr>
              <w:t>监事。</w:t>
            </w:r>
            <w:r>
              <w:rPr>
                <w:rFonts w:hint="eastAsia" w:ascii="宋体" w:hAnsi="宋体" w:eastAsia="宋体" w:cs="宋体"/>
              </w:rPr>
              <w:t>在境内工作的外籍员工任职上市公司董事、高级管理人员、核心技术人员或者核心业务人员的，可以成为激励对象。</w:t>
            </w:r>
          </w:p>
          <w:p>
            <w:pPr>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lang w:eastAsia="zh-CN"/>
              </w:rPr>
            </w:pPr>
            <w:r>
              <w:rPr>
                <w:rFonts w:hint="eastAsia" w:ascii="宋体" w:hAnsi="宋体" w:eastAsia="宋体" w:cs="宋体"/>
              </w:rPr>
              <w:t>单独或合计持有上市公司5%以上股份的股东或实际控制人及其配偶、父母、子女，不得成为激励对象。下列人员也不得成为激励对象</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最近</w:t>
            </w:r>
            <w:r>
              <w:rPr>
                <w:rFonts w:hint="eastAsia" w:ascii="宋体" w:hAnsi="宋体" w:eastAsia="宋体" w:cs="宋体"/>
                <w:lang w:val="en-US" w:eastAsia="en-US"/>
              </w:rPr>
              <w:t>12</w:t>
            </w:r>
            <w:r>
              <w:rPr>
                <w:rFonts w:hint="eastAsia" w:ascii="宋体" w:hAnsi="宋体" w:eastAsia="宋体" w:cs="宋体"/>
              </w:rPr>
              <w:t>个月内被证券交易所认定为不适当人选：</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最近12个月内被中国证监会及其派出机构认定为不适当人选；</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lang w:eastAsia="zh-CN"/>
              </w:rPr>
            </w:pPr>
            <w:r>
              <w:rPr>
                <w:rFonts w:hint="eastAsia" w:ascii="宋体" w:hAnsi="宋体" w:eastAsia="宋体" w:cs="宋体"/>
                <w:lang w:eastAsia="zh-CN"/>
              </w:rPr>
              <w:t>（三）</w:t>
            </w:r>
            <w:r>
              <w:rPr>
                <w:rFonts w:hint="eastAsia" w:ascii="宋体" w:hAnsi="宋体" w:eastAsia="宋体" w:cs="宋体"/>
              </w:rPr>
              <w:t>最近12个月内因重大违法违规行为被中国证监会及其派出机构行政处罚或者采取市场禁入措施</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r>
              <w:rPr>
                <w:rFonts w:hint="eastAsia" w:ascii="宋体" w:hAnsi="宋体" w:eastAsia="宋体" w:cs="宋体"/>
                <w:lang w:eastAsia="zh-CN"/>
              </w:rPr>
              <w:t>（四）</w:t>
            </w:r>
            <w:r>
              <w:rPr>
                <w:rFonts w:hint="eastAsia" w:ascii="宋体" w:hAnsi="宋体" w:eastAsia="宋体" w:cs="宋体"/>
              </w:rPr>
              <w:t>具有《公司法》规定的不得担任公司董事、高级管理人员情形的；</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r>
              <w:rPr>
                <w:rFonts w:hint="eastAsia" w:ascii="宋体" w:hAnsi="宋体" w:eastAsia="宋体" w:cs="宋体"/>
                <w:lang w:eastAsia="zh-CN"/>
              </w:rPr>
              <w:t>（五）</w:t>
            </w:r>
            <w:r>
              <w:rPr>
                <w:rFonts w:hint="eastAsia" w:ascii="宋体" w:hAnsi="宋体" w:eastAsia="宋体" w:cs="宋体"/>
              </w:rPr>
              <w:t>法律法规规定不得参与上市公司股权激励的；</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rPr>
            </w:pPr>
            <w:r>
              <w:rPr>
                <w:rFonts w:hint="eastAsia" w:ascii="宋体" w:hAnsi="宋体" w:eastAsia="宋体" w:cs="宋体"/>
                <w:lang w:eastAsia="zh-CN"/>
              </w:rPr>
              <w:t>（六）</w:t>
            </w:r>
            <w:r>
              <w:rPr>
                <w:rFonts w:hint="eastAsia" w:ascii="宋体" w:hAnsi="宋体" w:eastAsia="宋体" w:cs="宋体"/>
              </w:rPr>
              <w:t>中国证监会认定的其他情形。</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eastAsia="zh-CN"/>
              </w:rPr>
            </w:pP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196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（十五）将违法失信信息纳入金融信用信息基础数据库，作为评级授信、信贷融资、管理和退出的重要参考。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《国务院关于促进市场公平竞争维护市场正常秩序的若干意见》（国发</w:t>
            </w:r>
            <w:r>
              <w:rPr>
                <w:rFonts w:hint="eastAsia" w:ascii="宋体" w:hAnsi="宋体" w:eastAsia="宋体" w:cs="宋体"/>
                <w:lang w:eastAsia="zh-CN"/>
              </w:rPr>
              <w:t>〔</w:t>
            </w:r>
            <w:r>
              <w:rPr>
                <w:rFonts w:hint="eastAsia" w:ascii="宋体" w:hAnsi="宋体" w:eastAsia="宋体" w:cs="宋体"/>
              </w:rPr>
              <w:t>2014</w:t>
            </w:r>
            <w:r>
              <w:rPr>
                <w:rFonts w:hint="eastAsia" w:ascii="宋体" w:hAnsi="宋体" w:eastAsia="宋体" w:cs="宋体"/>
                <w:lang w:eastAsia="zh-CN"/>
              </w:rPr>
              <w:t>〕</w:t>
            </w:r>
            <w:r>
              <w:rPr>
                <w:rFonts w:hint="eastAsia" w:ascii="宋体" w:hAnsi="宋体" w:eastAsia="宋体" w:cs="宋体"/>
              </w:rPr>
              <w:t>20号）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hint="eastAsia" w:ascii="宋体" w:hAnsi="宋体" w:eastAsia="宋体" w:cs="宋体"/>
                <w:lang w:val="zh-CN" w:eastAsia="zh-CN"/>
              </w:rPr>
              <w:t>“黑</w:t>
            </w:r>
            <w:r>
              <w:rPr>
                <w:rFonts w:hint="eastAsia" w:ascii="宋体" w:hAnsi="宋体" w:eastAsia="宋体" w:cs="宋体"/>
              </w:rPr>
              <w:t>名单”制度。（工商总局牵头负责）对守信主体予以支持和激励，对失信主体在经营、投融资、取得政府供应土地、进出口、出入境、注册新公司、</w:t>
            </w:r>
            <w:r>
              <w:rPr>
                <w:rFonts w:hint="eastAsia" w:ascii="宋体" w:hAnsi="宋体" w:eastAsia="宋体" w:cs="宋体"/>
                <w:lang w:eastAsia="zh-CN"/>
              </w:rPr>
              <w:t>工</w:t>
            </w:r>
            <w:r>
              <w:rPr>
                <w:rFonts w:hint="eastAsia" w:ascii="宋体" w:hAnsi="宋体" w:eastAsia="宋体" w:cs="宋体"/>
              </w:rPr>
              <w:t>程招投标、政府采购、获得荣誉、安全许可、生产</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人民银行、银监会</w:t>
            </w:r>
          </w:p>
        </w:tc>
      </w:tr>
      <w:tr>
        <w:tblPrEx>
          <w:tblCellMar>
            <w:top w:w="0" w:type="dxa"/>
            <w:left w:w="10" w:type="dxa"/>
            <w:bottom w:w="0" w:type="dxa"/>
            <w:right w:w="10" w:type="dxa"/>
          </w:tblCellMar>
        </w:tblPrEx>
        <w:trPr>
          <w:trHeight w:val="433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许可、从业任职资格、资质审核等方面依法予以限制或禁止，对严重违法失信主体实行市场禁入制度。（各相关市场监管部门按职责分工分别负责）</w:t>
            </w:r>
          </w:p>
          <w:p>
            <w:pPr>
              <w:bidi w:val="0"/>
              <w:rPr>
                <w:rFonts w:hint="eastAsia" w:ascii="宋体" w:hAnsi="宋体" w:eastAsia="宋体" w:cs="宋体"/>
              </w:rPr>
            </w:pPr>
            <w:r>
              <w:rPr>
                <w:rFonts w:hint="eastAsia" w:ascii="宋体" w:hAnsi="宋体" w:eastAsia="宋体" w:cs="宋体"/>
              </w:rPr>
              <w:t>《国务院关于印发社会信用体系建设规划纲要</w:t>
            </w:r>
            <w:r>
              <w:rPr>
                <w:rFonts w:hint="eastAsia" w:ascii="宋体" w:hAnsi="宋体" w:eastAsia="宋体" w:cs="宋体"/>
                <w:lang w:val="en-US" w:eastAsia="en-US"/>
              </w:rPr>
              <w:t>（2014-2020</w:t>
            </w:r>
            <w:r>
              <w:rPr>
                <w:rFonts w:hint="eastAsia" w:ascii="宋体" w:hAnsi="宋体" w:eastAsia="宋体" w:cs="宋体"/>
              </w:rPr>
              <w:t>年）的通知》（国发</w:t>
            </w:r>
            <w:r>
              <w:rPr>
                <w:rFonts w:hint="eastAsia" w:ascii="宋体" w:hAnsi="宋体" w:eastAsia="宋体" w:cs="宋体"/>
                <w:lang w:eastAsia="zh-CN"/>
              </w:rPr>
              <w:t>〔</w:t>
            </w:r>
            <w:r>
              <w:rPr>
                <w:rFonts w:hint="eastAsia" w:ascii="宋体" w:hAnsi="宋体" w:eastAsia="宋体" w:cs="宋体"/>
              </w:rPr>
              <w:t>2014</w:t>
            </w:r>
            <w:r>
              <w:rPr>
                <w:rFonts w:hint="eastAsia" w:ascii="宋体" w:hAnsi="宋体" w:eastAsia="宋体" w:cs="宋体"/>
                <w:lang w:eastAsia="zh-CN"/>
              </w:rPr>
              <w:t>〕</w:t>
            </w:r>
            <w:r>
              <w:rPr>
                <w:rFonts w:hint="eastAsia" w:ascii="宋体" w:hAnsi="宋体" w:eastAsia="宋体" w:cs="宋体"/>
              </w:rPr>
              <w:t>21号）</w:t>
            </w:r>
          </w:p>
          <w:p>
            <w:pPr>
              <w:bidi w:val="0"/>
              <w:ind w:firstLine="480" w:firstLineChars="200"/>
              <w:rPr>
                <w:rFonts w:hint="eastAsia" w:ascii="宋体" w:hAnsi="宋体" w:eastAsia="宋体" w:cs="宋体"/>
              </w:rPr>
            </w:pPr>
            <w:r>
              <w:rPr>
                <w:rFonts w:hint="eastAsia" w:ascii="宋体" w:hAnsi="宋体" w:eastAsia="宋体" w:cs="宋体"/>
              </w:rPr>
              <w:t>金融领域信用建设。创新金融信用产品，改善金融服务，维护金融消費者个人信息安全，保护金融消费者合法权益。加大对金融欺诈、恶意逃废银行债务、内幕交易、制</w:t>
            </w:r>
            <w:r>
              <w:rPr>
                <w:rFonts w:hint="eastAsia" w:ascii="宋体" w:hAnsi="宋体" w:eastAsia="宋体" w:cs="宋体"/>
                <w:lang w:eastAsia="zh-CN"/>
              </w:rPr>
              <w:t>售</w:t>
            </w:r>
            <w:r>
              <w:rPr>
                <w:rFonts w:hint="eastAsia" w:ascii="宋体" w:hAnsi="宋体" w:eastAsia="宋体" w:cs="宋体"/>
              </w:rPr>
              <w:t>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p>
          <w:p>
            <w:pPr>
              <w:bidi w:val="0"/>
              <w:rPr>
                <w:rFonts w:hint="eastAsia" w:ascii="宋体" w:hAnsi="宋体" w:eastAsia="宋体" w:cs="宋体"/>
              </w:rPr>
            </w:pPr>
            <w:r>
              <w:rPr>
                <w:rFonts w:hint="eastAsia" w:ascii="宋体" w:hAnsi="宋体" w:eastAsia="宋体" w:cs="宋体"/>
              </w:rPr>
              <w:t>《征信业管理条例》（国务院令第631号）</w:t>
            </w:r>
          </w:p>
          <w:p>
            <w:pPr>
              <w:bidi w:val="0"/>
              <w:ind w:firstLine="480" w:firstLineChars="200"/>
              <w:rPr>
                <w:rFonts w:hint="eastAsia" w:ascii="宋体" w:hAnsi="宋体" w:eastAsia="宋体" w:cs="宋体"/>
              </w:rPr>
            </w:pPr>
            <w:r>
              <w:rPr>
                <w:rFonts w:hint="eastAsia" w:ascii="宋体" w:hAnsi="宋体" w:eastAsia="宋体" w:cs="宋体"/>
              </w:rPr>
              <w:t xml:space="preserve">第十三条 </w:t>
            </w:r>
            <w:r>
              <w:rPr>
                <w:rFonts w:hint="eastAsia" w:ascii="宋体" w:hAnsi="宋体" w:eastAsia="宋体" w:cs="宋体"/>
                <w:lang w:val="en-US" w:eastAsia="zh-CN"/>
              </w:rPr>
              <w:t xml:space="preserve"> </w:t>
            </w:r>
            <w:r>
              <w:rPr>
                <w:rFonts w:hint="eastAsia" w:ascii="宋体" w:hAnsi="宋体" w:eastAsia="宋体" w:cs="宋体"/>
              </w:rPr>
              <w:t>采集个人信息应当经信息主体本人同意，未经本人同意不得釆集。但是，依照法律、行政法规规定公开的信息除外。</w:t>
            </w:r>
          </w:p>
          <w:p>
            <w:pPr>
              <w:bidi w:val="0"/>
              <w:ind w:firstLine="480" w:firstLineChars="200"/>
              <w:rPr>
                <w:rFonts w:hint="eastAsia" w:ascii="宋体" w:hAnsi="宋体" w:eastAsia="宋体" w:cs="宋体"/>
              </w:rPr>
            </w:pPr>
            <w:r>
              <w:rPr>
                <w:rFonts w:hint="eastAsia" w:ascii="宋体" w:hAnsi="宋体" w:eastAsia="宋体" w:cs="宋体"/>
              </w:rPr>
              <w:t>企业的董事、监事、高级管理人员与其履行职务相关的信息，不作为个人信息。</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eastAsia="zh-CN"/>
              </w:rPr>
            </w:pPr>
            <w:r>
              <w:rPr>
                <w:rFonts w:hint="eastAsia" w:ascii="宋体" w:hAnsi="宋体" w:eastAsia="宋体" w:cs="宋体"/>
              </w:rPr>
              <w:t>第二十一条</w:t>
            </w:r>
            <w:r>
              <w:rPr>
                <w:rFonts w:hint="eastAsia" w:ascii="宋体" w:hAnsi="宋体" w:eastAsia="宋体" w:cs="宋体"/>
                <w:lang w:val="en-US" w:eastAsia="zh-CN"/>
              </w:rPr>
              <w:t xml:space="preserve">  </w:t>
            </w:r>
            <w:r>
              <w:rPr>
                <w:rFonts w:hint="eastAsia" w:ascii="宋体" w:hAnsi="宋体" w:eastAsia="宋体" w:cs="宋体"/>
              </w:rPr>
              <w:t>征信机构可以通过信息主体、企业交易对方、行业协会提供信息，政府有关部门依法已公开的信息</w:t>
            </w:r>
            <w:r>
              <w:rPr>
                <w:rFonts w:hint="eastAsia" w:ascii="宋体" w:hAnsi="宋体" w:eastAsia="宋体" w:cs="宋体"/>
                <w:lang w:eastAsia="zh-CN"/>
              </w:rPr>
              <w:t>，</w:t>
            </w:r>
            <w:r>
              <w:rPr>
                <w:rFonts w:hint="eastAsia" w:ascii="宋体" w:hAnsi="宋体" w:eastAsia="宋体" w:cs="宋体"/>
              </w:rPr>
              <w:t>人民法院依法公布的判决、裁定等渠道，釆集企业信</w:t>
            </w:r>
            <w:r>
              <w:rPr>
                <w:rFonts w:hint="eastAsia" w:ascii="宋体" w:hAnsi="宋体" w:eastAsia="宋体" w:cs="宋体"/>
                <w:lang w:eastAsia="zh-CN"/>
              </w:rPr>
              <w:t>息。</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1970"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rPr>
            </w:pPr>
            <w:r>
              <w:rPr>
                <w:rFonts w:hint="eastAsia" w:ascii="宋体" w:hAnsi="宋体" w:eastAsia="宋体" w:cs="宋体"/>
              </w:rPr>
              <w:t>（十六）被列为严重拖欠农民工工资用人单位的上市企业，应当依据法律法规有关规定，履行信息披露义务。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《中华人民共和国证券法》</w:t>
            </w:r>
          </w:p>
          <w:p>
            <w:pPr>
              <w:bidi w:val="0"/>
              <w:ind w:firstLine="480" w:firstLineChars="200"/>
              <w:rPr>
                <w:rFonts w:hint="eastAsia" w:ascii="宋体" w:hAnsi="宋体" w:eastAsia="宋体" w:cs="宋体"/>
              </w:rPr>
            </w:pPr>
            <w:r>
              <w:rPr>
                <w:rFonts w:hint="eastAsia" w:ascii="宋体" w:hAnsi="宋体" w:eastAsia="宋体" w:cs="宋体"/>
              </w:rPr>
              <w:t xml:space="preserve">第六十七条 </w:t>
            </w:r>
            <w:r>
              <w:rPr>
                <w:rFonts w:hint="eastAsia" w:ascii="宋体" w:hAnsi="宋体" w:eastAsia="宋体" w:cs="宋体"/>
                <w:lang w:val="en-US" w:eastAsia="zh-CN"/>
              </w:rPr>
              <w:t xml:space="preserve"> </w:t>
            </w:r>
            <w:r>
              <w:rPr>
                <w:rFonts w:hint="eastAsia" w:ascii="宋体" w:hAnsi="宋体" w:eastAsia="宋体" w:cs="宋体"/>
              </w:rPr>
              <w:t>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证监会</w:t>
            </w:r>
          </w:p>
        </w:tc>
      </w:tr>
      <w:tr>
        <w:tblPrEx>
          <w:tblCellMar>
            <w:top w:w="0" w:type="dxa"/>
            <w:left w:w="10" w:type="dxa"/>
            <w:bottom w:w="0" w:type="dxa"/>
            <w:right w:w="10" w:type="dxa"/>
          </w:tblCellMar>
        </w:tblPrEx>
        <w:trPr>
          <w:trHeight w:val="281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rPr>
            </w:pPr>
            <w:r>
              <w:rPr>
                <w:rFonts w:hint="eastAsia" w:ascii="宋体" w:hAnsi="宋体" w:eastAsia="宋体" w:cs="宋体"/>
              </w:rPr>
              <w:t>（十七）在上市公司或非上市公众公司收购的事中事后监管中，对有严重违法失信行为的单位予以重点关注。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《上市公司收购管理办法》（中国证券监督管理委员会令第108号）</w:t>
            </w:r>
          </w:p>
          <w:p>
            <w:pPr>
              <w:bidi w:val="0"/>
              <w:ind w:firstLine="480" w:firstLineChars="200"/>
              <w:rPr>
                <w:rFonts w:hint="eastAsia" w:ascii="宋体" w:hAnsi="宋体" w:eastAsia="宋体" w:cs="宋体"/>
              </w:rPr>
            </w:pPr>
            <w:r>
              <w:rPr>
                <w:rFonts w:hint="eastAsia" w:ascii="宋体" w:hAnsi="宋体" w:eastAsia="宋体" w:cs="宋体"/>
              </w:rPr>
              <w:t>第四条</w:t>
            </w:r>
            <w:r>
              <w:rPr>
                <w:rFonts w:hint="eastAsia" w:ascii="宋体" w:hAnsi="宋体" w:eastAsia="宋体" w:cs="宋体"/>
                <w:lang w:val="en-US" w:eastAsia="zh-CN"/>
              </w:rPr>
              <w:t xml:space="preserve">  </w:t>
            </w:r>
            <w:r>
              <w:rPr>
                <w:rFonts w:hint="eastAsia" w:ascii="宋体" w:hAnsi="宋体" w:eastAsia="宋体" w:cs="宋体"/>
              </w:rPr>
              <w:t>上市公司的收购及相关股份权益变动活动不得危害国家安全和社会公共利益。</w:t>
            </w:r>
          </w:p>
          <w:p>
            <w:pPr>
              <w:bidi w:val="0"/>
              <w:ind w:firstLine="480" w:firstLineChars="200"/>
              <w:rPr>
                <w:rFonts w:hint="eastAsia" w:ascii="宋体" w:hAnsi="宋体" w:eastAsia="宋体" w:cs="宋体"/>
              </w:rPr>
            </w:pPr>
            <w:r>
              <w:rPr>
                <w:rFonts w:hint="eastAsia" w:ascii="宋体" w:hAnsi="宋体" w:eastAsia="宋体" w:cs="宋体"/>
              </w:rPr>
              <w:t>第六条</w:t>
            </w:r>
            <w:r>
              <w:rPr>
                <w:rFonts w:hint="eastAsia" w:ascii="宋体" w:hAnsi="宋体" w:eastAsia="宋体" w:cs="宋体"/>
                <w:lang w:val="en-US" w:eastAsia="zh-CN"/>
              </w:rPr>
              <w:t xml:space="preserve">  </w:t>
            </w:r>
            <w:r>
              <w:rPr>
                <w:rFonts w:hint="eastAsia" w:ascii="宋体" w:hAnsi="宋体" w:eastAsia="宋体" w:cs="宋体"/>
              </w:rPr>
              <w:t>任何人不得利用上市公司的收购损害被收购公司及其股东的合法权益。</w:t>
            </w:r>
          </w:p>
          <w:p>
            <w:pPr>
              <w:bidi w:val="0"/>
              <w:ind w:firstLine="480" w:firstLineChars="200"/>
              <w:rPr>
                <w:rFonts w:hint="eastAsia" w:ascii="宋体" w:hAnsi="宋体" w:eastAsia="宋体" w:cs="宋体"/>
              </w:rPr>
            </w:pPr>
            <w:r>
              <w:rPr>
                <w:rFonts w:hint="eastAsia" w:ascii="宋体" w:hAnsi="宋体" w:eastAsia="宋体" w:cs="宋体"/>
              </w:rPr>
              <w:t>有下列情形之一的，不得收购上市公司：</w:t>
            </w:r>
          </w:p>
          <w:p>
            <w:pPr>
              <w:bidi w:val="0"/>
              <w:ind w:firstLine="480" w:firstLineChars="200"/>
              <w:rPr>
                <w:rFonts w:hint="eastAsia" w:ascii="宋体" w:hAnsi="宋体" w:eastAsia="宋体" w:cs="宋体"/>
              </w:rPr>
            </w:pPr>
            <w:bookmarkStart w:id="45" w:name="bookmark60"/>
            <w:r>
              <w:rPr>
                <w:rFonts w:hint="eastAsia" w:ascii="宋体" w:hAnsi="宋体" w:eastAsia="宋体" w:cs="宋体"/>
              </w:rPr>
              <w:t>（</w:t>
            </w:r>
            <w:bookmarkEnd w:id="45"/>
            <w:r>
              <w:rPr>
                <w:rFonts w:hint="eastAsia" w:ascii="宋体" w:hAnsi="宋体" w:eastAsia="宋体" w:cs="宋体"/>
              </w:rPr>
              <w:t>二）收购人最近3年有重大违法行为或者涉嫌有重大违法行为；</w:t>
            </w:r>
          </w:p>
          <w:p>
            <w:pPr>
              <w:bidi w:val="0"/>
              <w:rPr>
                <w:rFonts w:hint="eastAsia" w:ascii="宋体" w:hAnsi="宋体" w:eastAsia="宋体" w:cs="宋体"/>
              </w:rPr>
            </w:pPr>
            <w:r>
              <w:rPr>
                <w:rFonts w:hint="eastAsia" w:ascii="宋体" w:hAnsi="宋体" w:eastAsia="宋体" w:cs="宋体"/>
              </w:rPr>
              <w:t>《非上市公众公司收购管理办法》（中国证券监督管理委员会令第102号）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第六条</w:t>
            </w:r>
            <w:r>
              <w:rPr>
                <w:rFonts w:hint="eastAsia" w:ascii="宋体" w:hAnsi="宋体" w:eastAsia="宋体" w:cs="宋体"/>
                <w:lang w:val="en-US" w:eastAsia="zh-CN"/>
              </w:rPr>
              <w:t xml:space="preserve">  </w:t>
            </w:r>
            <w:r>
              <w:rPr>
                <w:rFonts w:hint="eastAsia" w:ascii="宋体" w:hAnsi="宋体" w:eastAsia="宋体" w:cs="宋体"/>
              </w:rPr>
              <w:t>进行公众公司收购，收购人及其实际控制人应当具有良好的诚信记录，收购人及其实际控制人为法人的，应当具有健全的公司治理机制。任何人不得利用公众公司收购损害被收购公司及其股东的合法权益。</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证监会</w:t>
            </w:r>
          </w:p>
        </w:tc>
      </w:tr>
      <w:tr>
        <w:tblPrEx>
          <w:tblCellMar>
            <w:top w:w="0" w:type="dxa"/>
            <w:left w:w="10" w:type="dxa"/>
            <w:bottom w:w="0" w:type="dxa"/>
            <w:right w:w="10" w:type="dxa"/>
          </w:tblCellMar>
        </w:tblPrEx>
        <w:trPr>
          <w:trHeight w:val="726"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ascii="宋体" w:hAnsi="宋体" w:eastAsia="宋体" w:cs="宋体"/>
              </w:rPr>
            </w:pPr>
            <w:r>
              <w:rPr>
                <w:rFonts w:hint="eastAsia" w:ascii="宋体" w:hAnsi="宋体" w:eastAsia="宋体" w:cs="宋体"/>
              </w:rPr>
              <w:t>有下列情形之一的，不得收购公众公司：</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eastAsia="zh-CN"/>
              </w:rPr>
            </w:pPr>
            <w:r>
              <w:rPr>
                <w:rFonts w:hint="eastAsia" w:ascii="宋体" w:hAnsi="宋体" w:eastAsia="宋体" w:cs="宋体"/>
              </w:rPr>
              <w:t>(二)收购人最近2年有重大违法行为或者涉嫌有重大违法行为</w:t>
            </w:r>
            <w:r>
              <w:rPr>
                <w:rFonts w:hint="eastAsia" w:ascii="宋体" w:hAnsi="宋体" w:eastAsia="宋体" w:cs="宋体"/>
                <w:lang w:eastAsia="zh-CN"/>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846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r>
              <w:rPr>
                <w:rFonts w:hint="eastAsia"/>
                <w:sz w:val="24"/>
                <w:szCs w:val="24"/>
                <w:lang w:eastAsia="zh-CN"/>
              </w:rPr>
              <w:t>（十八）将违法失信信息作为外汇管理行政审批参考。</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《合格境外机构投资者境内证券投资管理办法》(中国证券监督管理委员会中国人民银行国家外汇管理局令第36号)</w:t>
            </w:r>
          </w:p>
          <w:p>
            <w:pPr>
              <w:numPr>
                <w:ilvl w:val="0"/>
                <w:numId w:val="5"/>
              </w:numPr>
              <w:bidi w:val="0"/>
              <w:ind w:firstLine="480" w:firstLineChars="20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申请合格投资者资格，应当具备下列条件：</w:t>
            </w:r>
          </w:p>
          <w:p>
            <w:pPr>
              <w:bidi w:val="0"/>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申请人的财务稳健，资信良好，达到中国证监会规定的资产规模等条件；</w:t>
            </w:r>
          </w:p>
          <w:p>
            <w:pPr>
              <w:bidi w:val="0"/>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申请人的业务人员符合所在国家或地区的有关从业资格的</w:t>
            </w:r>
            <w:r>
              <w:rPr>
                <w:rFonts w:hint="eastAsia" w:ascii="宋体" w:hAnsi="宋体" w:eastAsia="宋体" w:cs="宋体"/>
                <w:lang w:eastAsia="zh-CN"/>
              </w:rPr>
              <w:t>要</w:t>
            </w:r>
            <w:r>
              <w:rPr>
                <w:rFonts w:hint="eastAsia" w:ascii="宋体" w:hAnsi="宋体" w:eastAsia="宋体" w:cs="宋体"/>
              </w:rPr>
              <w:t>求；</w:t>
            </w:r>
          </w:p>
          <w:p>
            <w:pPr>
              <w:bidi w:val="0"/>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申请人有健全的治理结构和完善的内控制度，经营行为规范，近3年未受到监管机构的重大处罚；</w:t>
            </w:r>
          </w:p>
          <w:p>
            <w:pPr>
              <w:bidi w:val="0"/>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）申</w:t>
            </w:r>
            <w:r>
              <w:rPr>
                <w:rFonts w:hint="eastAsia" w:ascii="宋体" w:hAnsi="宋体" w:eastAsia="宋体" w:cs="宋体"/>
              </w:rPr>
              <w:t>请人所在国家或者地区有完善的法律和监管制度，其证券监管机构己与中国证监会签订监管合作谅解备忘录，并保持着有效的监管合作关系；</w:t>
            </w:r>
          </w:p>
          <w:p>
            <w:pPr>
              <w:bidi w:val="0"/>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中国证监会根据审慎监管原则规定的其他条件。</w:t>
            </w:r>
          </w:p>
          <w:p>
            <w:pPr>
              <w:bidi w:val="0"/>
              <w:rPr>
                <w:rFonts w:hint="eastAsia" w:ascii="宋体" w:hAnsi="宋体" w:eastAsia="宋体" w:cs="宋体"/>
              </w:rPr>
            </w:pPr>
            <w:r>
              <w:rPr>
                <w:rFonts w:hint="eastAsia" w:ascii="宋体" w:hAnsi="宋体" w:eastAsia="宋体" w:cs="宋体"/>
              </w:rPr>
              <w:t>《人民币合格境外机构投资者境内证券投资试点办法》(中国证券监督管理委员会令第90号)</w:t>
            </w:r>
          </w:p>
          <w:p>
            <w:pPr>
              <w:bidi w:val="0"/>
              <w:ind w:firstLine="480" w:firstLineChars="200"/>
              <w:rPr>
                <w:rFonts w:hint="eastAsia" w:ascii="宋体" w:hAnsi="宋体" w:eastAsia="宋体" w:cs="宋体"/>
              </w:rPr>
            </w:pPr>
            <w:r>
              <w:rPr>
                <w:rFonts w:hint="eastAsia" w:ascii="宋体" w:hAnsi="宋体" w:eastAsia="宋体" w:cs="宋体"/>
              </w:rPr>
              <w:t>第五条</w:t>
            </w:r>
            <w:r>
              <w:rPr>
                <w:rFonts w:hint="eastAsia" w:ascii="宋体" w:hAnsi="宋体" w:eastAsia="宋体" w:cs="宋体"/>
                <w:lang w:val="en-US" w:eastAsia="zh-CN"/>
              </w:rPr>
              <w:t xml:space="preserve">  </w:t>
            </w:r>
            <w:r>
              <w:rPr>
                <w:rFonts w:hint="eastAsia" w:ascii="宋体" w:hAnsi="宋体" w:eastAsia="宋体" w:cs="宋体"/>
              </w:rPr>
              <w:t>申请人民币合格投资者资格，应当具备下列条件：</w:t>
            </w:r>
          </w:p>
          <w:p>
            <w:pPr>
              <w:bidi w:val="0"/>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财务稳健，资信良好，注册地、业务资格等符合中国证监会的规定；</w:t>
            </w:r>
          </w:p>
          <w:p>
            <w:pPr>
              <w:bidi w:val="0"/>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公司治理和内部控制有效，从业人员符合所在国家或地区的有关从业资格要求;</w:t>
            </w:r>
          </w:p>
          <w:p>
            <w:pPr>
              <w:numPr>
                <w:ilvl w:val="0"/>
                <w:numId w:val="0"/>
              </w:numPr>
              <w:bidi w:val="0"/>
              <w:ind w:right="0" w:rightChars="0"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 xml:space="preserve">经营行为规范，最近3年或者自成立起未受到所在地监管部门的重大处罚； </w:t>
            </w:r>
          </w:p>
          <w:p>
            <w:pPr>
              <w:numPr>
                <w:ilvl w:val="0"/>
                <w:numId w:val="0"/>
              </w:numPr>
              <w:bidi w:val="0"/>
              <w:ind w:right="0" w:rightChars="0" w:firstLine="48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中国证监会根据审慎监管原则规定的其他条件</w:t>
            </w:r>
            <w:r>
              <w:rPr>
                <w:rFonts w:hint="eastAsia" w:ascii="宋体" w:hAnsi="宋体" w:eastAsia="宋体" w:cs="宋体"/>
                <w:lang w:eastAsia="zh-CN"/>
              </w:rPr>
              <w:t>。</w:t>
            </w:r>
          </w:p>
          <w:p>
            <w:pPr>
              <w:bidi w:val="0"/>
            </w:pPr>
            <w:r>
              <w:t>《合格境内机构投资者境外证券投资管理试行办法》(中国证券监督管理委员会令第46号)</w:t>
            </w:r>
          </w:p>
          <w:p>
            <w:pPr>
              <w:numPr>
                <w:ilvl w:val="0"/>
                <w:numId w:val="6"/>
              </w:numPr>
              <w:bidi w:val="0"/>
              <w:ind w:firstLine="480" w:firstLineChars="200"/>
            </w:pPr>
            <w:r>
              <w:rPr>
                <w:rFonts w:hint="eastAsia" w:eastAsia="宋体"/>
                <w:lang w:val="en-US" w:eastAsia="zh-CN"/>
              </w:rPr>
              <w:t xml:space="preserve"> </w:t>
            </w:r>
            <w:r>
              <w:t>申请境内机构投资者资格，应当具备下列条件：</w:t>
            </w:r>
          </w:p>
          <w:p>
            <w:pPr>
              <w:numPr>
                <w:ilvl w:val="0"/>
                <w:numId w:val="7"/>
              </w:numPr>
              <w:bidi w:val="0"/>
              <w:ind w:firstLine="480" w:firstLineChars="200"/>
              <w:rPr>
                <w:rFonts w:hint="eastAsia" w:ascii="宋体" w:hAnsi="宋体" w:eastAsia="宋体" w:cs="宋体"/>
              </w:rPr>
            </w:pPr>
            <w:r>
              <w:rPr>
                <w:rFonts w:hint="eastAsia" w:ascii="宋体" w:hAnsi="宋体" w:eastAsia="宋体" w:cs="宋体"/>
              </w:rPr>
              <w:t xml:space="preserve">申请人的财务稳健，资信良好，资产管理规模、经营年限等符合中国证监会的规定； </w:t>
            </w:r>
          </w:p>
          <w:p>
            <w:pPr>
              <w:numPr>
                <w:ilvl w:val="0"/>
                <w:numId w:val="7"/>
              </w:numPr>
              <w:bidi w:val="0"/>
              <w:ind w:firstLine="480" w:firstLineChars="200"/>
              <w:rPr>
                <w:rFonts w:hint="eastAsia" w:ascii="宋体" w:hAnsi="宋体" w:eastAsia="宋体" w:cs="宋体"/>
              </w:rPr>
            </w:pPr>
            <w:r>
              <w:rPr>
                <w:rFonts w:hint="eastAsia" w:ascii="宋体" w:hAnsi="宋体" w:eastAsia="宋体" w:cs="宋体"/>
              </w:rPr>
              <w:t>拥有符合规定的具有境外投资管理相关经验的人员</w:t>
            </w:r>
            <w:r>
              <w:rPr>
                <w:rFonts w:hint="eastAsia" w:ascii="宋体" w:hAnsi="宋体" w:eastAsia="宋体" w:cs="宋体"/>
                <w:lang w:val="zh-CN" w:eastAsia="zh-CN"/>
              </w:rPr>
              <w:t>：</w:t>
            </w:r>
          </w:p>
          <w:p>
            <w:pPr>
              <w:bidi w:val="0"/>
              <w:ind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拥有健全的治理结构和完善的内控制度，经营行为规范；</w:t>
            </w:r>
          </w:p>
          <w:p>
            <w:pPr>
              <w:numPr>
                <w:ilvl w:val="0"/>
                <w:numId w:val="0"/>
              </w:numPr>
              <w:bidi w:val="0"/>
              <w:ind w:right="0" w:rightChars="0" w:firstLine="48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最近3年没有收到监管机构的重大处罚，没有重大事项正在接受司法部门、监管机构的立案调查</w:t>
            </w:r>
            <w:r>
              <w:rPr>
                <w:rFonts w:hint="eastAsia" w:ascii="宋体" w:hAnsi="宋体" w:eastAsia="宋体" w:cs="宋体"/>
                <w:lang w:eastAsia="zh-CN"/>
              </w:rPr>
              <w:t>；</w:t>
            </w:r>
          </w:p>
          <w:p>
            <w:pPr>
              <w:numPr>
                <w:ilvl w:val="0"/>
                <w:numId w:val="0"/>
              </w:numPr>
              <w:bidi w:val="0"/>
              <w:ind w:right="0" w:rightChars="0" w:firstLine="48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中国证监会根据审慎监管原则规定的其他条件。</w:t>
            </w:r>
          </w:p>
          <w:p>
            <w:pPr>
              <w:numPr>
                <w:ilvl w:val="0"/>
                <w:numId w:val="0"/>
              </w:numPr>
              <w:bidi w:val="0"/>
              <w:ind w:right="0" w:rightChars="0"/>
              <w:rPr>
                <w:rFonts w:hint="eastAsia" w:ascii="宋体" w:hAnsi="宋体" w:eastAsia="宋体" w:cs="宋体"/>
              </w:rPr>
            </w:pPr>
            <w:r>
              <w:rPr>
                <w:rFonts w:hint="eastAsia" w:ascii="宋体" w:hAnsi="宋体" w:eastAsia="宋体" w:cs="宋体"/>
              </w:rPr>
              <w:t>《国务院关于印发社会信用体系建设规划纲要</w:t>
            </w:r>
            <w:r>
              <w:rPr>
                <w:rFonts w:hint="eastAsia" w:ascii="宋体" w:hAnsi="宋体" w:eastAsia="宋体" w:cs="宋体"/>
                <w:lang w:val="en-US" w:eastAsia="en-US"/>
              </w:rPr>
              <w:t>(2014-2020</w:t>
            </w:r>
            <w:r>
              <w:rPr>
                <w:rFonts w:hint="eastAsia" w:ascii="宋体" w:hAnsi="宋体" w:eastAsia="宋体" w:cs="宋体"/>
              </w:rPr>
              <w:t>年)的通知》(国发</w:t>
            </w:r>
            <w:r>
              <w:rPr>
                <w:rFonts w:hint="eastAsia" w:ascii="宋体" w:hAnsi="宋体" w:eastAsia="宋体" w:cs="宋体"/>
                <w:lang w:eastAsia="zh-CN"/>
              </w:rPr>
              <w:t>〔</w:t>
            </w:r>
            <w:r>
              <w:rPr>
                <w:rFonts w:hint="eastAsia" w:ascii="宋体" w:hAnsi="宋体" w:eastAsia="宋体" w:cs="宋体"/>
              </w:rPr>
              <w:t>2014</w:t>
            </w:r>
            <w:r>
              <w:rPr>
                <w:rFonts w:hint="eastAsia" w:ascii="宋体" w:hAnsi="宋体" w:eastAsia="宋体" w:cs="宋体"/>
                <w:lang w:eastAsia="zh-CN"/>
              </w:rPr>
              <w:t>〕</w:t>
            </w:r>
            <w:r>
              <w:rPr>
                <w:rFonts w:hint="eastAsia" w:ascii="宋体" w:hAnsi="宋体" w:eastAsia="宋体" w:cs="宋体"/>
              </w:rPr>
              <w:t xml:space="preserve">21号) </w:t>
            </w:r>
          </w:p>
          <w:p>
            <w:pPr>
              <w:numPr>
                <w:ilvl w:val="0"/>
                <w:numId w:val="0"/>
              </w:numPr>
              <w:bidi w:val="0"/>
              <w:ind w:right="0" w:rightChars="0" w:firstLine="480" w:firstLineChars="200"/>
              <w:rPr>
                <w:rFonts w:hint="eastAsia" w:ascii="宋体" w:hAnsi="宋体" w:eastAsia="宋体" w:cs="宋体"/>
              </w:rPr>
            </w:pPr>
            <w:r>
              <w:rPr>
                <w:rFonts w:hint="eastAsia" w:ascii="宋体" w:hAnsi="宋体" w:eastAsia="宋体" w:cs="宋体"/>
              </w:rPr>
              <w:t>发挥政府诚信建设示范作用。各级人民政府首先要加强自身诚信建设，以政府的诚信施政，带动全社会诚信意</w:t>
            </w:r>
          </w:p>
          <w:p>
            <w:pPr>
              <w:numPr>
                <w:ilvl w:val="0"/>
                <w:numId w:val="0"/>
              </w:numPr>
              <w:bidi w:val="0"/>
              <w:ind w:right="0" w:rightChars="0"/>
              <w:rPr>
                <w:rFonts w:hint="eastAsia" w:ascii="宋体" w:hAnsi="宋体" w:eastAsia="宋体" w:cs="宋体"/>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国家外汇管理局</w:t>
            </w:r>
          </w:p>
        </w:tc>
      </w:tr>
      <w:tr>
        <w:tblPrEx>
          <w:tblCellMar>
            <w:top w:w="0" w:type="dxa"/>
            <w:left w:w="10" w:type="dxa"/>
            <w:bottom w:w="0" w:type="dxa"/>
            <w:right w:w="10" w:type="dxa"/>
          </w:tblCellMar>
        </w:tblPrEx>
        <w:trPr>
          <w:trHeight w:val="95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rPr>
            </w:pPr>
            <w:r>
              <w:rPr>
                <w:sz w:val="24"/>
                <w:szCs w:val="24"/>
              </w:rPr>
              <w:t>识的树立和诚信水平的提高。在行政许可、政府采购、招标投标、劳动就业、社会保障、科研管理、干部选拔任用和管理监督、申请政府资金支持等领域，率先使用信用信息和信用产品，培育信用服务市场发展。</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789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bidi w:val="0"/>
              <w:rPr>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十九）限制成为海关认证企业，</w:t>
            </w:r>
            <w:r>
              <w:rPr>
                <w:rFonts w:hint="eastAsia" w:ascii="宋体" w:hAnsi="宋体" w:eastAsia="宋体" w:cs="宋体"/>
                <w:sz w:val="24"/>
                <w:szCs w:val="24"/>
                <w:lang w:eastAsia="zh-CN"/>
              </w:rPr>
              <w:t>申</w:t>
            </w:r>
            <w:r>
              <w:rPr>
                <w:rFonts w:hint="eastAsia" w:ascii="宋体" w:hAnsi="宋体" w:eastAsia="宋体" w:cs="宋体"/>
                <w:sz w:val="24"/>
                <w:szCs w:val="24"/>
              </w:rPr>
              <w:t>请海关认 证企业管理的，不予通过认证；对</w:t>
            </w:r>
            <w:r>
              <w:rPr>
                <w:rFonts w:hint="eastAsia" w:ascii="宋体" w:hAnsi="宋体" w:eastAsia="宋体" w:cs="宋体"/>
                <w:sz w:val="24"/>
                <w:szCs w:val="24"/>
                <w:lang w:eastAsia="zh-CN"/>
              </w:rPr>
              <w:t>已</w:t>
            </w:r>
            <w:r>
              <w:rPr>
                <w:rFonts w:hint="eastAsia" w:ascii="宋体" w:hAnsi="宋体" w:eastAsia="宋体" w:cs="宋体"/>
                <w:sz w:val="24"/>
                <w:szCs w:val="24"/>
              </w:rPr>
              <w:t>经成为认证企业的，按照规定</w:t>
            </w:r>
            <w:r>
              <w:rPr>
                <w:rFonts w:hint="eastAsia" w:ascii="宋体" w:hAnsi="宋体" w:eastAsia="宋体" w:cs="宋体"/>
                <w:sz w:val="24"/>
                <w:szCs w:val="24"/>
                <w:lang w:eastAsia="zh-CN"/>
              </w:rPr>
              <w:t>下</w:t>
            </w:r>
            <w:r>
              <w:rPr>
                <w:rFonts w:hint="eastAsia" w:ascii="宋体" w:hAnsi="宋体" w:eastAsia="宋体" w:cs="宋体"/>
                <w:sz w:val="24"/>
                <w:szCs w:val="24"/>
              </w:rPr>
              <w:t>调企业信用等级。</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《中华人民共和国海关企业信用管理暂行办法》（海关总署令第225号）</w:t>
            </w:r>
          </w:p>
          <w:p>
            <w:pPr>
              <w:bidi w:val="0"/>
              <w:ind w:firstLine="480" w:firstLineChars="200"/>
              <w:rPr>
                <w:rFonts w:hint="eastAsia" w:ascii="宋体" w:hAnsi="宋体" w:eastAsia="宋体" w:cs="宋体"/>
              </w:rPr>
            </w:pPr>
            <w:r>
              <w:rPr>
                <w:rFonts w:hint="eastAsia" w:ascii="宋体" w:hAnsi="宋体" w:eastAsia="宋体" w:cs="宋体"/>
              </w:rPr>
              <w:t>第二条</w:t>
            </w:r>
            <w:r>
              <w:rPr>
                <w:rFonts w:hint="eastAsia" w:ascii="宋体" w:hAnsi="宋体" w:eastAsia="宋体" w:cs="宋体"/>
                <w:lang w:val="en-US" w:eastAsia="zh-CN"/>
              </w:rPr>
              <w:t xml:space="preserve">  </w:t>
            </w:r>
            <w:r>
              <w:rPr>
                <w:rFonts w:hint="eastAsia" w:ascii="宋体" w:hAnsi="宋体" w:eastAsia="宋体" w:cs="宋体"/>
              </w:rPr>
              <w:t>海关注册登记企业信用信息的采集、公示，企业信用状况的认定、管理等适用本办法。</w:t>
            </w:r>
          </w:p>
          <w:p>
            <w:pPr>
              <w:bidi w:val="0"/>
              <w:ind w:firstLine="480" w:firstLineChars="200"/>
              <w:rPr>
                <w:rFonts w:hint="eastAsia" w:ascii="宋体" w:hAnsi="宋体" w:eastAsia="宋体" w:cs="宋体"/>
              </w:rPr>
            </w:pPr>
            <w:r>
              <w:rPr>
                <w:rFonts w:hint="eastAsia" w:ascii="宋体" w:hAnsi="宋体" w:eastAsia="宋体" w:cs="宋体"/>
              </w:rPr>
              <w:t>第五条</w:t>
            </w:r>
            <w:r>
              <w:rPr>
                <w:rFonts w:hint="eastAsia" w:ascii="宋体" w:hAnsi="宋体" w:eastAsia="宋体" w:cs="宋体"/>
                <w:lang w:val="en-US" w:eastAsia="zh-CN"/>
              </w:rPr>
              <w:t xml:space="preserve">  </w:t>
            </w:r>
            <w:r>
              <w:rPr>
                <w:rFonts w:hint="eastAsia" w:ascii="宋体" w:hAnsi="宋体" w:eastAsia="宋体" w:cs="宋体"/>
              </w:rPr>
              <w:t>海关根据社会信用体系建设和国际合作需要，与国家有关部门以及其他国家或者地区海关建立合作机制，推进信息互换、监管互认、执法</w:t>
            </w:r>
            <w:r>
              <w:rPr>
                <w:rFonts w:hint="eastAsia" w:ascii="宋体" w:hAnsi="宋体" w:eastAsia="宋体" w:cs="宋体"/>
                <w:lang w:val="zh-CN" w:eastAsia="zh-CN"/>
              </w:rPr>
              <w:t>互助。</w:t>
            </w:r>
          </w:p>
          <w:p>
            <w:pPr>
              <w:bidi w:val="0"/>
              <w:ind w:firstLine="480" w:firstLineChars="200"/>
              <w:rPr>
                <w:rFonts w:hint="eastAsia" w:ascii="宋体" w:hAnsi="宋体" w:eastAsia="宋体" w:cs="宋体"/>
              </w:rPr>
            </w:pPr>
            <w:r>
              <w:rPr>
                <w:rFonts w:hint="eastAsia" w:ascii="宋体" w:hAnsi="宋体" w:eastAsia="宋体" w:cs="宋体"/>
              </w:rPr>
              <w:t>第七条</w:t>
            </w:r>
            <w:r>
              <w:rPr>
                <w:rFonts w:hint="eastAsia" w:ascii="宋体" w:hAnsi="宋体" w:eastAsia="宋体" w:cs="宋体"/>
                <w:lang w:val="en-US" w:eastAsia="zh-CN"/>
              </w:rPr>
              <w:t xml:space="preserve">  </w:t>
            </w:r>
            <w:r>
              <w:rPr>
                <w:rFonts w:hint="eastAsia" w:ascii="宋体" w:hAnsi="宋体" w:eastAsia="宋体" w:cs="宋体"/>
              </w:rPr>
              <w:t>海关应当在保护国家秘密、商业秘密和个人隐私的前提下，公示企业下列信用信息：</w:t>
            </w:r>
          </w:p>
          <w:p>
            <w:pPr>
              <w:bidi w:val="0"/>
              <w:ind w:firstLine="480" w:firstLineChars="200"/>
              <w:rPr>
                <w:rFonts w:hint="eastAsia" w:ascii="宋体" w:hAnsi="宋体" w:eastAsia="宋体" w:cs="宋体"/>
              </w:rPr>
            </w:pPr>
            <w:bookmarkStart w:id="46" w:name="bookmark71"/>
            <w:r>
              <w:rPr>
                <w:rFonts w:hint="eastAsia" w:ascii="宋体" w:hAnsi="宋体" w:eastAsia="宋体" w:cs="宋体"/>
              </w:rPr>
              <w:t>（</w:t>
            </w:r>
            <w:bookmarkEnd w:id="46"/>
            <w:r>
              <w:rPr>
                <w:rFonts w:hint="eastAsia" w:ascii="宋体" w:hAnsi="宋体" w:eastAsia="宋体" w:cs="宋体"/>
              </w:rPr>
              <w:t>一）企业在海关注册登记信息；</w:t>
            </w:r>
          </w:p>
          <w:p>
            <w:pPr>
              <w:bidi w:val="0"/>
              <w:ind w:firstLine="480" w:firstLineChars="200"/>
              <w:rPr>
                <w:rFonts w:hint="eastAsia" w:ascii="宋体" w:hAnsi="宋体" w:eastAsia="宋体" w:cs="宋体"/>
              </w:rPr>
            </w:pPr>
            <w:bookmarkStart w:id="47" w:name="bookmark72"/>
            <w:r>
              <w:rPr>
                <w:rFonts w:hint="eastAsia" w:ascii="宋体" w:hAnsi="宋体" w:eastAsia="宋体" w:cs="宋体"/>
              </w:rPr>
              <w:t>（</w:t>
            </w:r>
            <w:bookmarkEnd w:id="47"/>
            <w:r>
              <w:rPr>
                <w:rFonts w:hint="eastAsia" w:ascii="宋体" w:hAnsi="宋体" w:eastAsia="宋体" w:cs="宋体"/>
              </w:rPr>
              <w:t>二）海关对企业信用状况的认定结果；</w:t>
            </w:r>
          </w:p>
          <w:p>
            <w:pPr>
              <w:bidi w:val="0"/>
              <w:ind w:firstLine="480" w:firstLineChars="200"/>
              <w:rPr>
                <w:rFonts w:hint="eastAsia" w:ascii="宋体" w:hAnsi="宋体" w:eastAsia="宋体" w:cs="宋体"/>
              </w:rPr>
            </w:pPr>
            <w:bookmarkStart w:id="48" w:name="bookmark73"/>
            <w:r>
              <w:rPr>
                <w:rFonts w:hint="eastAsia" w:ascii="宋体" w:hAnsi="宋体" w:eastAsia="宋体" w:cs="宋体"/>
              </w:rPr>
              <w:t>（</w:t>
            </w:r>
            <w:bookmarkEnd w:id="48"/>
            <w:r>
              <w:rPr>
                <w:rFonts w:hint="eastAsia" w:ascii="宋体" w:hAnsi="宋体" w:eastAsia="宋体" w:cs="宋体"/>
              </w:rPr>
              <w:t>三）企业行政处罚信息；</w:t>
            </w:r>
          </w:p>
          <w:p>
            <w:pPr>
              <w:bidi w:val="0"/>
              <w:ind w:firstLine="480" w:firstLineChars="200"/>
              <w:rPr>
                <w:rFonts w:hint="eastAsia" w:ascii="宋体" w:hAnsi="宋体" w:eastAsia="宋体" w:cs="宋体"/>
              </w:rPr>
            </w:pPr>
            <w:bookmarkStart w:id="49" w:name="bookmark74"/>
            <w:r>
              <w:rPr>
                <w:rFonts w:hint="eastAsia" w:ascii="宋体" w:hAnsi="宋体" w:eastAsia="宋体" w:cs="宋体"/>
              </w:rPr>
              <w:t>（</w:t>
            </w:r>
            <w:bookmarkEnd w:id="49"/>
            <w:r>
              <w:rPr>
                <w:rFonts w:hint="eastAsia" w:ascii="宋体" w:hAnsi="宋体" w:eastAsia="宋体" w:cs="宋体"/>
              </w:rPr>
              <w:t>四）其他应当公示的企业信息。</w:t>
            </w:r>
          </w:p>
          <w:p>
            <w:pPr>
              <w:bidi w:val="0"/>
              <w:ind w:firstLine="480" w:firstLineChars="200"/>
              <w:rPr>
                <w:rFonts w:hint="eastAsia" w:ascii="宋体" w:hAnsi="宋体" w:eastAsia="宋体" w:cs="宋体"/>
              </w:rPr>
            </w:pPr>
            <w:r>
              <w:rPr>
                <w:rFonts w:hint="eastAsia" w:ascii="宋体" w:hAnsi="宋体" w:eastAsia="宋体" w:cs="宋体"/>
              </w:rPr>
              <w:t>第十条</w:t>
            </w:r>
            <w:r>
              <w:rPr>
                <w:rFonts w:hint="eastAsia" w:ascii="宋体" w:hAnsi="宋体" w:eastAsia="宋体" w:cs="宋体"/>
                <w:lang w:val="en-US" w:eastAsia="zh-CN"/>
              </w:rPr>
              <w:t xml:space="preserve">  </w:t>
            </w:r>
            <w:r>
              <w:rPr>
                <w:rFonts w:hint="eastAsia" w:ascii="宋体" w:hAnsi="宋体" w:eastAsia="宋体" w:cs="宋体"/>
              </w:rPr>
              <w:t>企业有下列情形之一的，海关认定为失信企业：</w:t>
            </w:r>
          </w:p>
          <w:p>
            <w:pPr>
              <w:bidi w:val="0"/>
              <w:ind w:firstLine="480" w:firstLineChars="200"/>
              <w:rPr>
                <w:rFonts w:hint="eastAsia" w:ascii="宋体" w:hAnsi="宋体" w:eastAsia="宋体" w:cs="宋体"/>
              </w:rPr>
            </w:pPr>
            <w:bookmarkStart w:id="50" w:name="bookmark75"/>
            <w:r>
              <w:rPr>
                <w:rFonts w:hint="eastAsia" w:ascii="宋体" w:hAnsi="宋体" w:eastAsia="宋体" w:cs="宋体"/>
              </w:rPr>
              <w:t>（</w:t>
            </w:r>
            <w:bookmarkEnd w:id="50"/>
            <w:r>
              <w:rPr>
                <w:rFonts w:hint="eastAsia" w:ascii="宋体" w:hAnsi="宋体" w:eastAsia="宋体" w:cs="宋体"/>
              </w:rPr>
              <w:t>一）有走私犯罪或者走私行为的；</w:t>
            </w:r>
          </w:p>
          <w:p>
            <w:pPr>
              <w:bidi w:val="0"/>
              <w:ind w:firstLine="480" w:firstLineChars="200"/>
              <w:rPr>
                <w:rFonts w:hint="eastAsia" w:ascii="宋体" w:hAnsi="宋体" w:eastAsia="宋体" w:cs="宋体"/>
              </w:rPr>
            </w:pPr>
            <w:bookmarkStart w:id="51" w:name="bookmark76"/>
            <w:r>
              <w:rPr>
                <w:rFonts w:hint="eastAsia" w:ascii="宋体" w:hAnsi="宋体" w:eastAsia="宋体" w:cs="宋体"/>
              </w:rPr>
              <w:t>（</w:t>
            </w:r>
            <w:bookmarkEnd w:id="51"/>
            <w:r>
              <w:rPr>
                <w:rFonts w:hint="eastAsia" w:ascii="宋体" w:hAnsi="宋体" w:eastAsia="宋体" w:cs="宋体"/>
              </w:rPr>
              <w:t>二）非报关企业1年内违反海关监管规定行为次数超过上年度报关单、进出境备案清单等相关单证总票数千分之一且被海关行政处罚金额超过10万元的违规行为2次以上的，或者被海关行政处罚金额累计超过100万元的</w:t>
            </w:r>
            <w:r>
              <w:rPr>
                <w:rFonts w:hint="eastAsia" w:ascii="宋体" w:hAnsi="宋体" w:eastAsia="宋体" w:cs="宋体"/>
                <w:lang w:eastAsia="zh-CN"/>
              </w:rPr>
              <w:t>；</w:t>
            </w:r>
            <w:r>
              <w:rPr>
                <w:rFonts w:hint="eastAsia" w:ascii="宋体" w:hAnsi="宋体" w:eastAsia="宋体" w:cs="宋体"/>
              </w:rPr>
              <w:t>报关企业1年内违反海关监管规定行为次数超过上年度报关单、进岀境备案清单总票数万分之五的，或者被海关行政处罚金额累计超过10万元的；</w:t>
            </w:r>
          </w:p>
          <w:p>
            <w:pPr>
              <w:bidi w:val="0"/>
              <w:ind w:firstLine="480" w:firstLineChars="200"/>
              <w:rPr>
                <w:rFonts w:hint="eastAsia" w:ascii="宋体" w:hAnsi="宋体" w:eastAsia="宋体" w:cs="宋体"/>
              </w:rPr>
            </w:pPr>
            <w:bookmarkStart w:id="52" w:name="bookmark77"/>
            <w:r>
              <w:rPr>
                <w:rFonts w:hint="eastAsia" w:ascii="宋体" w:hAnsi="宋体" w:eastAsia="宋体" w:cs="宋体"/>
              </w:rPr>
              <w:t>（</w:t>
            </w:r>
            <w:bookmarkEnd w:id="52"/>
            <w:r>
              <w:rPr>
                <w:rFonts w:hint="eastAsia" w:ascii="宋体" w:hAnsi="宋体" w:eastAsia="宋体" w:cs="宋体"/>
              </w:rPr>
              <w:t>三）拖欠应缴税款、应缴罚没款项的；</w:t>
            </w:r>
          </w:p>
          <w:p>
            <w:pPr>
              <w:bidi w:val="0"/>
              <w:ind w:firstLine="480" w:firstLineChars="200"/>
              <w:rPr>
                <w:rFonts w:hint="eastAsia" w:ascii="宋体" w:hAnsi="宋体" w:eastAsia="宋体" w:cs="宋体"/>
              </w:rPr>
            </w:pPr>
            <w:bookmarkStart w:id="53" w:name="bookmark78"/>
            <w:r>
              <w:rPr>
                <w:rFonts w:hint="eastAsia" w:ascii="宋体" w:hAnsi="宋体" w:eastAsia="宋体" w:cs="宋体"/>
              </w:rPr>
              <w:t>（</w:t>
            </w:r>
            <w:bookmarkEnd w:id="53"/>
            <w:r>
              <w:rPr>
                <w:rFonts w:hint="eastAsia" w:ascii="宋体" w:hAnsi="宋体" w:eastAsia="宋体" w:cs="宋体"/>
              </w:rPr>
              <w:t>四）上一季度报关差错率高于同期全国平均报关差错率1倍以上的：</w:t>
            </w:r>
          </w:p>
          <w:p>
            <w:pPr>
              <w:bidi w:val="0"/>
              <w:ind w:firstLine="480" w:firstLineChars="200"/>
              <w:rPr>
                <w:rFonts w:hint="eastAsia" w:ascii="宋体" w:hAnsi="宋体" w:eastAsia="宋体" w:cs="宋体"/>
              </w:rPr>
            </w:pPr>
            <w:bookmarkStart w:id="54" w:name="bookmark79"/>
            <w:r>
              <w:rPr>
                <w:rFonts w:hint="eastAsia" w:ascii="宋体" w:hAnsi="宋体" w:eastAsia="宋体" w:cs="宋体"/>
              </w:rPr>
              <w:t>（</w:t>
            </w:r>
            <w:bookmarkEnd w:id="54"/>
            <w:r>
              <w:rPr>
                <w:rFonts w:hint="eastAsia" w:ascii="宋体" w:hAnsi="宋体" w:eastAsia="宋体" w:cs="宋体"/>
              </w:rPr>
              <w:t>五）经过实地查看，确认企业登记的信息失实且无法与企业取得联系的；</w:t>
            </w:r>
          </w:p>
          <w:p>
            <w:pPr>
              <w:bidi w:val="0"/>
              <w:ind w:firstLine="480" w:firstLineChars="200"/>
              <w:rPr>
                <w:rFonts w:hint="eastAsia" w:ascii="宋体" w:hAnsi="宋体" w:eastAsia="宋体" w:cs="宋体"/>
              </w:rPr>
            </w:pPr>
            <w:bookmarkStart w:id="55" w:name="bookmark80"/>
            <w:r>
              <w:rPr>
                <w:rFonts w:hint="eastAsia" w:ascii="宋体" w:hAnsi="宋体" w:eastAsia="宋体" w:cs="宋体"/>
              </w:rPr>
              <w:t>（</w:t>
            </w:r>
            <w:bookmarkEnd w:id="55"/>
            <w:r>
              <w:rPr>
                <w:rFonts w:hint="eastAsia" w:ascii="宋体" w:hAnsi="宋体" w:eastAsia="宋体" w:cs="宋体"/>
              </w:rPr>
              <w:t>六）被海关依法暂停从事报关业务的；</w:t>
            </w:r>
          </w:p>
          <w:p>
            <w:pPr>
              <w:bidi w:val="0"/>
              <w:ind w:firstLine="480" w:firstLineChars="200"/>
              <w:rPr>
                <w:rFonts w:hint="eastAsia" w:ascii="宋体" w:hAnsi="宋体" w:eastAsia="宋体" w:cs="宋体"/>
              </w:rPr>
            </w:pPr>
            <w:bookmarkStart w:id="56" w:name="bookmark81"/>
            <w:r>
              <w:rPr>
                <w:rFonts w:hint="eastAsia" w:ascii="宋体" w:hAnsi="宋体" w:eastAsia="宋体" w:cs="宋体"/>
              </w:rPr>
              <w:t>（</w:t>
            </w:r>
            <w:bookmarkEnd w:id="56"/>
            <w:r>
              <w:rPr>
                <w:rFonts w:hint="eastAsia" w:ascii="宋体" w:hAnsi="宋体" w:eastAsia="宋体" w:cs="宋体"/>
              </w:rPr>
              <w:t>七）涉嫌走私、违反海关监管规定拒不配合海关进行调查的；</w:t>
            </w:r>
          </w:p>
          <w:p>
            <w:pPr>
              <w:bidi w:val="0"/>
              <w:ind w:firstLine="480" w:firstLineChars="200"/>
              <w:rPr>
                <w:rFonts w:hint="eastAsia" w:ascii="宋体" w:hAnsi="宋体" w:eastAsia="宋体" w:cs="宋体"/>
              </w:rPr>
            </w:pPr>
            <w:bookmarkStart w:id="57" w:name="bookmark82"/>
            <w:r>
              <w:rPr>
                <w:rFonts w:hint="eastAsia" w:ascii="宋体" w:hAnsi="宋体" w:eastAsia="宋体" w:cs="宋体"/>
              </w:rPr>
              <w:t>（</w:t>
            </w:r>
            <w:bookmarkEnd w:id="57"/>
            <w:r>
              <w:rPr>
                <w:rFonts w:hint="eastAsia" w:ascii="宋体" w:hAnsi="宋体" w:eastAsia="宋体" w:cs="宋体"/>
              </w:rPr>
              <w:t>八）假借海关或者其他企业名义获取不当利益的；</w:t>
            </w:r>
          </w:p>
          <w:p>
            <w:pPr>
              <w:bidi w:val="0"/>
              <w:ind w:firstLine="480" w:firstLineChars="200"/>
              <w:rPr>
                <w:rFonts w:hint="eastAsia" w:ascii="宋体" w:hAnsi="宋体" w:eastAsia="宋体" w:cs="宋体"/>
              </w:rPr>
            </w:pPr>
            <w:bookmarkStart w:id="58" w:name="bookmark83"/>
            <w:r>
              <w:rPr>
                <w:rFonts w:hint="eastAsia" w:ascii="宋体" w:hAnsi="宋体" w:eastAsia="宋体" w:cs="宋体"/>
              </w:rPr>
              <w:t>（</w:t>
            </w:r>
            <w:bookmarkEnd w:id="58"/>
            <w:r>
              <w:rPr>
                <w:rFonts w:hint="eastAsia" w:ascii="宋体" w:hAnsi="宋体" w:eastAsia="宋体" w:cs="宋体"/>
              </w:rPr>
              <w:t>九）弄虚作假、伪造企业信用信息的；</w:t>
            </w:r>
          </w:p>
          <w:p>
            <w:pPr>
              <w:bidi w:val="0"/>
              <w:ind w:firstLine="480" w:firstLineChars="200"/>
              <w:rPr>
                <w:rFonts w:hint="eastAsia" w:ascii="宋体" w:hAnsi="宋体" w:eastAsia="宋体" w:cs="宋体"/>
              </w:rPr>
            </w:pPr>
            <w:r>
              <w:rPr>
                <w:rFonts w:hint="eastAsia" w:ascii="宋体" w:hAnsi="宋体" w:eastAsia="宋体" w:cs="宋体"/>
              </w:rPr>
              <w:t>（十）其他海关认定为失信企业的情形。</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eastAsia="zh-CN"/>
              </w:rPr>
            </w:pPr>
            <w:r>
              <w:rPr>
                <w:rFonts w:hint="eastAsia" w:ascii="宋体" w:hAnsi="宋体" w:eastAsia="宋体" w:cs="宋体"/>
              </w:rPr>
              <w:t>第十四条</w:t>
            </w:r>
            <w:r>
              <w:rPr>
                <w:rFonts w:hint="eastAsia" w:ascii="宋体" w:hAnsi="宋体" w:eastAsia="宋体" w:cs="宋体"/>
                <w:lang w:val="en-US" w:eastAsia="zh-CN"/>
              </w:rPr>
              <w:t xml:space="preserve">  </w:t>
            </w:r>
            <w:r>
              <w:rPr>
                <w:rFonts w:hint="eastAsia" w:ascii="宋体" w:hAnsi="宋体" w:eastAsia="宋体" w:cs="宋体"/>
              </w:rPr>
              <w:t>企业有下列情形之一的，海关应当终止认证</w:t>
            </w:r>
            <w:r>
              <w:rPr>
                <w:rFonts w:hint="eastAsia" w:ascii="宋体" w:hAnsi="宋体" w:eastAsia="宋体" w:cs="宋体"/>
                <w:lang w:eastAsia="zh-CN"/>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海关总署</w:t>
            </w:r>
          </w:p>
        </w:tc>
      </w:tr>
      <w:tr>
        <w:tblPrEx>
          <w:tblCellMar>
            <w:top w:w="0" w:type="dxa"/>
            <w:left w:w="10" w:type="dxa"/>
            <w:bottom w:w="0" w:type="dxa"/>
            <w:right w:w="10" w:type="dxa"/>
          </w:tblCellMar>
        </w:tblPrEx>
        <w:trPr>
          <w:trHeight w:val="318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ascii="宋体" w:hAnsi="宋体" w:eastAsia="宋体" w:cs="宋体"/>
              </w:rPr>
            </w:pPr>
            <w:r>
              <w:rPr>
                <w:rFonts w:hint="eastAsia" w:ascii="宋体" w:hAnsi="宋体" w:eastAsia="宋体" w:cs="宋体"/>
                <w:lang w:val="en-US" w:eastAsia="en-US"/>
              </w:rPr>
              <w:t>（</w:t>
            </w:r>
            <w:r>
              <w:rPr>
                <w:rFonts w:hint="eastAsia" w:ascii="宋体" w:hAnsi="宋体" w:eastAsia="宋体" w:cs="宋体"/>
                <w:lang w:val="en-US" w:eastAsia="zh-CN"/>
              </w:rPr>
              <w:t>一</w:t>
            </w:r>
            <w:r>
              <w:rPr>
                <w:rFonts w:hint="eastAsia" w:ascii="宋体" w:hAnsi="宋体" w:eastAsia="宋体" w:cs="宋体"/>
                <w:lang w:val="en-US" w:eastAsia="en-US"/>
              </w:rPr>
              <w:t>）</w:t>
            </w:r>
            <w:r>
              <w:rPr>
                <w:rFonts w:hint="eastAsia" w:ascii="宋体" w:hAnsi="宋体" w:eastAsia="宋体" w:cs="宋体"/>
              </w:rPr>
              <w:t>发生涉嫌走私或者违反海关监管规定的行为被海关立案侦查或者调查的；</w:t>
            </w:r>
          </w:p>
          <w:p>
            <w:pPr>
              <w:bidi w:val="0"/>
              <w:ind w:firstLine="480" w:firstLineChars="200"/>
              <w:rPr>
                <w:rFonts w:hint="eastAsia" w:ascii="宋体" w:hAnsi="宋体" w:eastAsia="宋体" w:cs="宋体"/>
              </w:rPr>
            </w:pPr>
            <w:bookmarkStart w:id="59" w:name="bookmark84"/>
            <w:r>
              <w:rPr>
                <w:rFonts w:hint="eastAsia" w:ascii="宋体" w:hAnsi="宋体" w:eastAsia="宋体" w:cs="宋体"/>
              </w:rPr>
              <w:t>（</w:t>
            </w:r>
            <w:bookmarkEnd w:id="59"/>
            <w:r>
              <w:rPr>
                <w:rFonts w:hint="eastAsia" w:ascii="宋体" w:hAnsi="宋体" w:eastAsia="宋体" w:cs="宋体"/>
              </w:rPr>
              <w:t>二）主动撤回认证申请的；</w:t>
            </w:r>
          </w:p>
          <w:p>
            <w:pPr>
              <w:bidi w:val="0"/>
              <w:ind w:firstLine="480" w:firstLineChars="200"/>
              <w:rPr>
                <w:rFonts w:hint="eastAsia" w:ascii="宋体" w:hAnsi="宋体" w:eastAsia="宋体" w:cs="宋体"/>
              </w:rPr>
            </w:pPr>
            <w:bookmarkStart w:id="60" w:name="bookmark85"/>
            <w:r>
              <w:rPr>
                <w:rFonts w:hint="eastAsia" w:ascii="宋体" w:hAnsi="宋体" w:eastAsia="宋体" w:cs="宋体"/>
              </w:rPr>
              <w:t>（</w:t>
            </w:r>
            <w:bookmarkEnd w:id="60"/>
            <w:r>
              <w:rPr>
                <w:rFonts w:hint="eastAsia" w:ascii="宋体" w:hAnsi="宋体" w:eastAsia="宋体" w:cs="宋体"/>
              </w:rPr>
              <w:t>三）其他应当终止认证的情形。</w:t>
            </w:r>
          </w:p>
          <w:p>
            <w:pPr>
              <w:bidi w:val="0"/>
              <w:rPr>
                <w:rFonts w:hint="eastAsia" w:ascii="宋体" w:hAnsi="宋体" w:eastAsia="宋体" w:cs="宋体"/>
              </w:rPr>
            </w:pPr>
            <w:r>
              <w:rPr>
                <w:rFonts w:hint="eastAsia" w:ascii="宋体" w:hAnsi="宋体" w:eastAsia="宋体" w:cs="宋体"/>
              </w:rPr>
              <w:t>《海关认证企业标准》（总署公告</w:t>
            </w:r>
            <w:r>
              <w:rPr>
                <w:rFonts w:hint="eastAsia" w:ascii="宋体" w:hAnsi="宋体" w:eastAsia="宋体" w:cs="宋体"/>
                <w:lang w:eastAsia="zh-CN"/>
              </w:rPr>
              <w:t>〔</w:t>
            </w:r>
            <w:r>
              <w:rPr>
                <w:rFonts w:hint="eastAsia" w:ascii="宋体" w:hAnsi="宋体" w:eastAsia="宋体" w:cs="宋体"/>
              </w:rPr>
              <w:t>2014</w:t>
            </w:r>
            <w:r>
              <w:rPr>
                <w:rFonts w:hint="eastAsia" w:ascii="宋体" w:hAnsi="宋体" w:eastAsia="宋体" w:cs="宋体"/>
                <w:lang w:eastAsia="zh-CN"/>
              </w:rPr>
              <w:t>〕</w:t>
            </w:r>
            <w:r>
              <w:rPr>
                <w:rFonts w:hint="eastAsia" w:ascii="宋体" w:hAnsi="宋体" w:eastAsia="宋体" w:cs="宋体"/>
              </w:rPr>
              <w:t>82号）</w:t>
            </w:r>
          </w:p>
          <w:p>
            <w:pPr>
              <w:bidi w:val="0"/>
              <w:ind w:firstLine="480" w:firstLineChars="200"/>
              <w:rPr>
                <w:rFonts w:hint="eastAsia" w:ascii="宋体" w:hAnsi="宋体" w:eastAsia="宋体" w:cs="宋体"/>
              </w:rPr>
            </w:pPr>
            <w:r>
              <w:rPr>
                <w:rFonts w:hint="eastAsia" w:ascii="宋体" w:hAnsi="宋体" w:eastAsia="宋体" w:cs="宋体"/>
              </w:rPr>
              <w:t>第九条</w:t>
            </w:r>
            <w:r>
              <w:rPr>
                <w:rFonts w:hint="eastAsia" w:ascii="宋体" w:hAnsi="宋体" w:eastAsia="宋体" w:cs="宋体"/>
                <w:lang w:val="en-US" w:eastAsia="zh-CN"/>
              </w:rPr>
              <w:t xml:space="preserve">  </w:t>
            </w:r>
            <w:r>
              <w:rPr>
                <w:rFonts w:hint="eastAsia" w:ascii="宋体" w:hAnsi="宋体" w:eastAsia="宋体" w:cs="宋体"/>
              </w:rPr>
              <w:t>认证企业外部信用上要求企业或者其法定代表人（负责人）、负责关务的高级管理人员、财务负责人连续1年在工商、商务、税务、银行、外汇、检验检疫、公安、检察院、法院等部门未被列入经营异常名录、失信企业或者人员名单、黑名单企业、人员。</w:t>
            </w:r>
          </w:p>
          <w:p>
            <w:pPr>
              <w:bidi w:val="0"/>
              <w:rPr>
                <w:rFonts w:hint="eastAsia" w:ascii="宋体" w:hAnsi="宋体" w:eastAsia="宋体" w:cs="宋体"/>
              </w:rPr>
            </w:pPr>
            <w:r>
              <w:rPr>
                <w:rFonts w:hint="eastAsia" w:ascii="宋体" w:hAnsi="宋体" w:eastAsia="宋体" w:cs="宋体"/>
              </w:rPr>
              <w:t>《国务院关于印发社会信用体系建设规划纲要</w:t>
            </w:r>
            <w:r>
              <w:rPr>
                <w:rFonts w:hint="eastAsia" w:ascii="宋体" w:hAnsi="宋体" w:eastAsia="宋体" w:cs="宋体"/>
                <w:lang w:val="en-US" w:eastAsia="en-US"/>
              </w:rPr>
              <w:t>（2014—2020</w:t>
            </w:r>
            <w:r>
              <w:rPr>
                <w:rFonts w:hint="eastAsia" w:ascii="宋体" w:hAnsi="宋体" w:eastAsia="宋体" w:cs="宋体"/>
              </w:rPr>
              <w:t>年）的通知》（国发</w:t>
            </w:r>
            <w:r>
              <w:rPr>
                <w:rFonts w:hint="eastAsia" w:ascii="宋体" w:hAnsi="宋体" w:eastAsia="宋体" w:cs="宋体"/>
                <w:lang w:eastAsia="zh-CN"/>
              </w:rPr>
              <w:t>〔</w:t>
            </w:r>
            <w:r>
              <w:rPr>
                <w:rFonts w:hint="eastAsia" w:ascii="宋体" w:hAnsi="宋体" w:eastAsia="宋体" w:cs="宋体"/>
              </w:rPr>
              <w:t>2014</w:t>
            </w:r>
            <w:r>
              <w:rPr>
                <w:rFonts w:hint="eastAsia" w:ascii="宋体" w:hAnsi="宋体" w:eastAsia="宋体" w:cs="宋体"/>
                <w:lang w:eastAsia="zh-CN"/>
              </w:rPr>
              <w:t>〕</w:t>
            </w:r>
            <w:r>
              <w:rPr>
                <w:rFonts w:hint="eastAsia" w:ascii="宋体" w:hAnsi="宋体" w:eastAsia="宋体" w:cs="宋体"/>
              </w:rPr>
              <w:t>21号）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构建守信激励和失信惩戒机制。加强对失信主体的约束和惩戒。强化行政监管性约束和惩戒。在现有行政处罚措施的基础上，健全失信惩戒制度，建立各行业黑名单制度和市场退岀机制。</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246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rPr>
            </w:pPr>
            <w:r>
              <w:rPr>
                <w:rFonts w:hint="eastAsia" w:ascii="宋体" w:hAnsi="宋体" w:eastAsia="宋体" w:cs="宋体"/>
              </w:rPr>
              <w:t>（二十）办理海关相关业务时，对其进出口货物实施严密监管，加强单证审核、布控査验、 加工贸易担保征收或 后续稽査。</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《中华人民共和国海关企业信用管理暂行办法》（海关总署令第225号）</w:t>
            </w:r>
          </w:p>
          <w:p>
            <w:pPr>
              <w:bidi w:val="0"/>
              <w:ind w:firstLine="480" w:firstLineChars="200"/>
              <w:rPr>
                <w:rFonts w:hint="eastAsia" w:ascii="宋体" w:hAnsi="宋体" w:eastAsia="宋体" w:cs="宋体"/>
              </w:rPr>
            </w:pPr>
            <w:r>
              <w:rPr>
                <w:rFonts w:hint="eastAsia" w:ascii="宋体" w:hAnsi="宋体" w:eastAsia="宋体" w:cs="宋体"/>
              </w:rPr>
              <w:t>第三条</w:t>
            </w:r>
            <w:r>
              <w:rPr>
                <w:rFonts w:hint="eastAsia" w:ascii="宋体" w:hAnsi="宋体" w:eastAsia="宋体" w:cs="宋体"/>
                <w:lang w:val="en-US" w:eastAsia="zh-CN"/>
              </w:rPr>
              <w:t xml:space="preserve">  </w:t>
            </w:r>
            <w:r>
              <w:rPr>
                <w:rFonts w:hint="eastAsia" w:ascii="宋体" w:hAnsi="宋体" w:eastAsia="宋体" w:cs="宋体"/>
              </w:rPr>
              <w:t>海关根据企业信用状况将企业认定为认证企业、一般信用企业和失信企业，按照诚信守法便利、失信违法惩戒原则，分别适用相应的管理措施。</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海关总署</w:t>
            </w:r>
          </w:p>
        </w:tc>
      </w:tr>
      <w:tr>
        <w:tblPrEx>
          <w:tblCellMar>
            <w:top w:w="0" w:type="dxa"/>
            <w:left w:w="10" w:type="dxa"/>
            <w:bottom w:w="0" w:type="dxa"/>
            <w:right w:w="10" w:type="dxa"/>
          </w:tblCellMar>
        </w:tblPrEx>
        <w:trPr>
          <w:trHeight w:val="350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rPr>
            </w:pPr>
            <w:r>
              <w:rPr>
                <w:rFonts w:hint="eastAsia" w:ascii="宋体" w:hAnsi="宋体" w:eastAsia="宋体" w:cs="宋体"/>
              </w:rPr>
              <w:t>（二十一）限制其取得认证机构资质：限制其获得认证证书。</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《国务院关于促进市场公平竞争维护市场正常秩序的若干意见》（国发</w:t>
            </w:r>
            <w:r>
              <w:rPr>
                <w:rFonts w:hint="eastAsia" w:ascii="宋体" w:hAnsi="宋体" w:eastAsia="宋体" w:cs="宋体"/>
                <w:lang w:eastAsia="zh-CN"/>
              </w:rPr>
              <w:t>〔</w:t>
            </w:r>
            <w:r>
              <w:rPr>
                <w:rFonts w:hint="eastAsia" w:ascii="宋体" w:hAnsi="宋体" w:eastAsia="宋体" w:cs="宋体"/>
              </w:rPr>
              <w:t>2014</w:t>
            </w:r>
            <w:r>
              <w:rPr>
                <w:rFonts w:hint="eastAsia" w:ascii="宋体" w:hAnsi="宋体" w:eastAsia="宋体" w:cs="宋体"/>
                <w:lang w:eastAsia="zh-CN"/>
              </w:rPr>
              <w:t>〕</w:t>
            </w:r>
            <w:r>
              <w:rPr>
                <w:rFonts w:hint="eastAsia" w:ascii="宋体" w:hAnsi="宋体" w:eastAsia="宋体" w:cs="宋体"/>
              </w:rPr>
              <w:t>20号）</w:t>
            </w:r>
          </w:p>
          <w:p>
            <w:pPr>
              <w:bidi w:val="0"/>
              <w:ind w:firstLine="480" w:firstLineChars="200"/>
              <w:rPr>
                <w:rFonts w:hint="eastAsia" w:ascii="宋体" w:hAnsi="宋体" w:eastAsia="宋体" w:cs="宋体"/>
              </w:rPr>
            </w:pPr>
            <w:r>
              <w:rPr>
                <w:rFonts w:hint="eastAsia" w:ascii="宋体" w:hAnsi="宋体" w:eastAsia="宋体" w:cs="宋体"/>
              </w:rPr>
              <w:t>（十五）建立健全守信激励和失信惩戒机制。将市场主体的信用信息作为实施行政管理的重要参考。根据市场主体信用状况实行分类分级、动态监管，建立健全经营异常名录制度，对违背市场竞争原则和侵犯消費者、劳动者合法权益的市场主体建立</w:t>
            </w:r>
            <w:r>
              <w:rPr>
                <w:rFonts w:hint="eastAsia" w:ascii="宋体" w:hAnsi="宋体" w:eastAsia="宋体" w:cs="宋体"/>
                <w:lang w:val="zh-CN" w:eastAsia="zh-CN"/>
              </w:rPr>
              <w:t>“黑</w:t>
            </w:r>
            <w:r>
              <w:rPr>
                <w:rFonts w:hint="eastAsia" w:ascii="宋体" w:hAnsi="宋体" w:eastAsia="宋体" w:cs="宋体"/>
              </w:rPr>
              <w:t>名单”制度。（工商总局牵头负责）对守信主体予以支持和激励，对失信主体在经营、投融资、取得政府供应土地、进岀口、岀入境、注册新公司、</w:t>
            </w:r>
            <w:r>
              <w:rPr>
                <w:rFonts w:hint="eastAsia" w:ascii="宋体" w:hAnsi="宋体" w:eastAsia="宋体" w:cs="宋体"/>
                <w:lang w:eastAsia="zh-CN"/>
              </w:rPr>
              <w:t>工</w:t>
            </w:r>
            <w:r>
              <w:rPr>
                <w:rFonts w:hint="eastAsia" w:ascii="宋体" w:hAnsi="宋体" w:eastAsia="宋体" w:cs="宋体"/>
              </w:rPr>
              <w:t>程招投标、政府采购、获得荣誉、安全许可、生产许可、从业任职资格、资质审核等方面依法予以限制或禁止，对严重违法失信主体实行市场禁入制度。（各相关市场监管部门按职责分工分别负责）</w:t>
            </w:r>
          </w:p>
          <w:p>
            <w:pPr>
              <w:bidi w:val="0"/>
              <w:rPr>
                <w:rFonts w:hint="eastAsia" w:ascii="宋体" w:hAnsi="宋体" w:eastAsia="宋体" w:cs="宋体"/>
              </w:rPr>
            </w:pPr>
            <w:r>
              <w:rPr>
                <w:rFonts w:hint="eastAsia" w:ascii="宋体" w:hAnsi="宋体" w:eastAsia="宋体" w:cs="宋体"/>
              </w:rPr>
              <w:t>《国务院关于印发社会信用体系建设规划纲要</w:t>
            </w:r>
            <w:r>
              <w:rPr>
                <w:rFonts w:hint="eastAsia" w:ascii="宋体" w:hAnsi="宋体" w:eastAsia="宋体" w:cs="宋体"/>
                <w:lang w:val="en-US" w:eastAsia="en-US"/>
              </w:rPr>
              <w:t>（2014—2020</w:t>
            </w:r>
            <w:r>
              <w:rPr>
                <w:rFonts w:hint="eastAsia" w:ascii="宋体" w:hAnsi="宋体" w:eastAsia="宋体" w:cs="宋体"/>
              </w:rPr>
              <w:t>年）的通知》（国发</w:t>
            </w:r>
            <w:r>
              <w:rPr>
                <w:rFonts w:hint="eastAsia" w:ascii="宋体" w:hAnsi="宋体" w:eastAsia="宋体" w:cs="宋体"/>
                <w:lang w:eastAsia="zh-CN"/>
              </w:rPr>
              <w:t>〔</w:t>
            </w:r>
            <w:r>
              <w:rPr>
                <w:rFonts w:hint="eastAsia" w:ascii="宋体" w:hAnsi="宋体" w:eastAsia="宋体" w:cs="宋体"/>
              </w:rPr>
              <w:t>2014</w:t>
            </w:r>
            <w:r>
              <w:rPr>
                <w:rFonts w:hint="eastAsia" w:ascii="宋体" w:hAnsi="宋体" w:eastAsia="宋体" w:cs="宋体"/>
                <w:lang w:eastAsia="zh-CN"/>
              </w:rPr>
              <w:t>〕</w:t>
            </w:r>
            <w:r>
              <w:rPr>
                <w:rFonts w:hint="eastAsia" w:ascii="宋体" w:hAnsi="宋体" w:eastAsia="宋体" w:cs="宋体"/>
              </w:rPr>
              <w:t>21号）</w:t>
            </w:r>
          </w:p>
          <w:p>
            <w:pPr>
              <w:bidi w:val="0"/>
              <w:rPr>
                <w:rFonts w:hint="eastAsia" w:ascii="宋体" w:hAnsi="宋体" w:eastAsia="宋体" w:cs="宋体"/>
              </w:rPr>
            </w:pPr>
            <w:r>
              <w:rPr>
                <w:rFonts w:hint="eastAsia" w:ascii="宋体" w:hAnsi="宋体" w:eastAsia="宋体" w:cs="宋体"/>
              </w:rPr>
              <w:t>二、推进重点领域诚信建设</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lang w:eastAsia="zh-CN"/>
              </w:rPr>
            </w:pPr>
            <w:r>
              <w:rPr>
                <w:rFonts w:hint="eastAsia" w:ascii="宋体" w:hAnsi="宋体" w:eastAsia="宋体" w:cs="宋体"/>
              </w:rPr>
              <w:t>（一）加快推进政务诚信建设</w:t>
            </w:r>
            <w:r>
              <w:rPr>
                <w:rFonts w:hint="eastAsia" w:ascii="宋体" w:hAnsi="宋体" w:eastAsia="宋体" w:cs="宋体"/>
                <w:lang w:eastAsia="zh-CN"/>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质检总局（国家认监委）</w:t>
            </w:r>
          </w:p>
        </w:tc>
      </w:tr>
      <w:tr>
        <w:tblPrEx>
          <w:tblCellMar>
            <w:top w:w="0" w:type="dxa"/>
            <w:left w:w="10" w:type="dxa"/>
            <w:bottom w:w="0" w:type="dxa"/>
            <w:right w:w="10" w:type="dxa"/>
          </w:tblCellMar>
        </w:tblPrEx>
        <w:trPr>
          <w:trHeight w:val="350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p>
        </w:tc>
        <w:tc>
          <w:tcPr>
            <w:tcW w:w="10269"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ascii="宋体" w:hAnsi="宋体" w:eastAsia="宋体" w:cs="宋体"/>
              </w:rPr>
            </w:pPr>
            <w:r>
              <w:rPr>
                <w:rFonts w:hint="eastAsia" w:ascii="宋体" w:hAnsi="宋体" w:eastAsia="宋体" w:cs="宋体"/>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bidi w:val="0"/>
              <w:ind w:firstLine="480" w:firstLineChars="200"/>
              <w:rPr>
                <w:rFonts w:hint="eastAsia" w:ascii="宋体" w:hAnsi="宋体" w:eastAsia="宋体" w:cs="宋体"/>
              </w:rPr>
            </w:pPr>
            <w:r>
              <w:rPr>
                <w:rFonts w:hint="eastAsia" w:ascii="宋体" w:hAnsi="宋体" w:eastAsia="宋体" w:cs="宋体"/>
              </w:rPr>
              <w:t>（二）深入推进商务诚信建设。</w:t>
            </w:r>
          </w:p>
          <w:p>
            <w:pPr>
              <w:bidi w:val="0"/>
              <w:ind w:firstLine="480" w:firstLineChars="200"/>
              <w:rPr>
                <w:rFonts w:hint="eastAsia" w:ascii="宋体" w:hAnsi="宋体" w:eastAsia="宋体" w:cs="宋体"/>
              </w:rPr>
            </w:pPr>
            <w:r>
              <w:rPr>
                <w:rFonts w:hint="eastAsia" w:ascii="宋体" w:hAnsi="宋体" w:eastAsia="宋体" w:cs="宋体"/>
              </w:rPr>
              <w:t>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pPr>
              <w:bidi w:val="0"/>
              <w:rPr>
                <w:rFonts w:hint="eastAsia" w:ascii="宋体" w:hAnsi="宋体" w:eastAsia="宋体" w:cs="宋体"/>
              </w:rPr>
            </w:pPr>
            <w:r>
              <w:rPr>
                <w:rFonts w:hint="eastAsia" w:ascii="宋体" w:hAnsi="宋体" w:eastAsia="宋体" w:cs="宋体"/>
              </w:rPr>
              <w:t>《中华人民共和国认证认可条例》（国务院令第390号，国务院令第666号修订）</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第六条</w:t>
            </w:r>
            <w:r>
              <w:rPr>
                <w:rFonts w:hint="eastAsia" w:ascii="宋体" w:hAnsi="宋体" w:eastAsia="宋体" w:cs="宋体"/>
                <w:lang w:val="en-US" w:eastAsia="zh-CN"/>
              </w:rPr>
              <w:t xml:space="preserve"> </w:t>
            </w:r>
            <w:r>
              <w:rPr>
                <w:rFonts w:hint="eastAsia" w:ascii="宋体" w:hAnsi="宋体" w:eastAsia="宋体" w:cs="宋体"/>
              </w:rPr>
              <w:t xml:space="preserve"> 认证认可活动应当遵循客观独立、公正公开、诚实信用的原则。</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569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sz w:val="24"/>
                <w:szCs w:val="24"/>
                <w:lang w:eastAsia="zh-CN"/>
              </w:rPr>
            </w:pPr>
            <w:r>
              <w:rPr>
                <w:rFonts w:hint="eastAsia" w:ascii="宋体" w:hAnsi="宋体" w:eastAsia="宋体" w:cs="宋体"/>
                <w:sz w:val="24"/>
                <w:szCs w:val="24"/>
              </w:rPr>
              <w:t>（二十二）将违法失信信息纳入检验检疫进出口企业信用管理系 统,依法对其进行信用评级和监督。</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《出入境检验检疫企业信用管理办</w:t>
            </w:r>
            <w:r>
              <w:rPr>
                <w:rFonts w:hint="eastAsia" w:ascii="宋体" w:hAnsi="宋体" w:eastAsia="宋体" w:cs="宋体"/>
                <w:lang w:eastAsia="zh-CN"/>
              </w:rPr>
              <w:t>法</w:t>
            </w:r>
            <w:r>
              <w:rPr>
                <w:rFonts w:hint="eastAsia" w:ascii="宋体" w:hAnsi="宋体" w:eastAsia="宋体" w:cs="宋体"/>
              </w:rPr>
              <w:t>》</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p>
          <w:p>
            <w:pPr>
              <w:bidi w:val="0"/>
              <w:ind w:firstLine="480" w:firstLineChars="200"/>
              <w:rPr>
                <w:rFonts w:hint="eastAsia" w:ascii="宋体" w:hAnsi="宋体" w:eastAsia="宋体" w:cs="宋体"/>
              </w:rPr>
            </w:pPr>
            <w:r>
              <w:rPr>
                <w:rFonts w:hint="eastAsia" w:ascii="宋体" w:hAnsi="宋体" w:eastAsia="宋体" w:cs="宋体"/>
              </w:rPr>
              <w:t>第三条</w:t>
            </w:r>
            <w:r>
              <w:rPr>
                <w:rFonts w:hint="eastAsia" w:ascii="宋体" w:hAnsi="宋体" w:eastAsia="宋体" w:cs="宋体"/>
                <w:lang w:val="en-US" w:eastAsia="zh-CN"/>
              </w:rPr>
              <w:t xml:space="preserve">  </w:t>
            </w:r>
            <w:r>
              <w:rPr>
                <w:rFonts w:hint="eastAsia" w:ascii="宋体" w:hAnsi="宋体" w:eastAsia="宋体" w:cs="宋体"/>
              </w:rPr>
              <w:t>企业信用信息包括企业基本信息、企业守法信息、企业质量管理能力信息、产品质量信息、检验检疫监管信息、社会对企业信用评价信息以及其他相关信息。</w:t>
            </w:r>
          </w:p>
          <w:p>
            <w:pPr>
              <w:bidi w:val="0"/>
              <w:ind w:firstLine="480" w:firstLineChars="200"/>
              <w:rPr>
                <w:rFonts w:hint="eastAsia" w:ascii="宋体" w:hAnsi="宋体" w:eastAsia="宋体" w:cs="宋体"/>
              </w:rPr>
            </w:pPr>
            <w:r>
              <w:rPr>
                <w:rFonts w:hint="eastAsia" w:ascii="宋体" w:hAnsi="宋体" w:eastAsia="宋体" w:cs="宋体"/>
              </w:rPr>
              <w:t>（六）社会对企业信用评价信息包括政府管理部门情况通报、媒体报道及社会公众举报投诉等情况。</w:t>
            </w:r>
          </w:p>
          <w:p>
            <w:pPr>
              <w:bidi w:val="0"/>
              <w:rPr>
                <w:rFonts w:hint="eastAsia" w:ascii="宋体" w:hAnsi="宋体" w:eastAsia="宋体" w:cs="宋体"/>
              </w:rPr>
            </w:pPr>
            <w:r>
              <w:rPr>
                <w:rFonts w:hint="eastAsia" w:ascii="宋体" w:hAnsi="宋体" w:eastAsia="宋体" w:cs="宋体"/>
              </w:rPr>
              <w:t>《国务院关于促进市场公平竞争维护市场正常秩序的若干意见》（国发</w:t>
            </w:r>
            <w:r>
              <w:rPr>
                <w:rFonts w:hint="eastAsia" w:ascii="宋体" w:hAnsi="宋体" w:eastAsia="宋体" w:cs="宋体"/>
                <w:lang w:eastAsia="zh-CN"/>
              </w:rPr>
              <w:t>〔</w:t>
            </w:r>
            <w:r>
              <w:rPr>
                <w:rFonts w:hint="eastAsia" w:ascii="宋体" w:hAnsi="宋体" w:eastAsia="宋体" w:cs="宋体"/>
              </w:rPr>
              <w:t>2014</w:t>
            </w:r>
            <w:r>
              <w:rPr>
                <w:rFonts w:hint="eastAsia" w:ascii="宋体" w:hAnsi="宋体" w:eastAsia="宋体" w:cs="宋体"/>
                <w:lang w:eastAsia="zh-CN"/>
              </w:rPr>
              <w:t>〕</w:t>
            </w:r>
            <w:r>
              <w:rPr>
                <w:rFonts w:hint="eastAsia" w:ascii="宋体" w:hAnsi="宋体" w:eastAsia="宋体" w:cs="宋体"/>
              </w:rPr>
              <w:t>20号）</w:t>
            </w:r>
          </w:p>
          <w:p>
            <w:pPr>
              <w:bidi w:val="0"/>
              <w:ind w:firstLine="480" w:firstLineChars="200"/>
              <w:rPr>
                <w:rFonts w:hint="eastAsia" w:ascii="宋体" w:hAnsi="宋体" w:eastAsia="宋体" w:cs="宋体"/>
              </w:rPr>
            </w:pPr>
            <w:r>
              <w:rPr>
                <w:rFonts w:hint="eastAsia" w:ascii="宋体" w:hAnsi="宋体" w:eastAsia="宋体" w:cs="宋体"/>
              </w:rPr>
              <w:t>（十五）建立健全守信激励和失信惩戒机制。将市场主体的信用信息作为实施行政管理的重要参考。根据市场主体信用状况实行分类分级、动态监管，建立健全经营异常名录制度，对违背市场竞争原则和侵犯消費者、劳动者合法权益的市场主体建立“黑名单</w:t>
            </w:r>
            <w:r>
              <w:rPr>
                <w:rFonts w:hint="eastAsia" w:ascii="宋体" w:hAnsi="宋体" w:eastAsia="宋体" w:cs="宋体"/>
                <w:lang w:eastAsia="zh-CN"/>
              </w:rPr>
              <w:t>”</w:t>
            </w:r>
            <w:r>
              <w:rPr>
                <w:rFonts w:hint="eastAsia" w:ascii="宋体" w:hAnsi="宋体" w:eastAsia="宋体" w:cs="宋体"/>
              </w:rPr>
              <w:t>制度。（工商总局牵头负责）对守信主体予以支持和激励，对失信主体在经营、投融资、取得政府供应土地、进岀口、出入境、注册新公司、工程招投标、政府釆购、获得荣誉、安全许可、生产许可、从业任职资格、资质审核等方面依法予以限制或禁止，对严重违法失信主体实行市场禁入制度。（各相关市场监管部门按职责分工分别负责）</w:t>
            </w:r>
          </w:p>
          <w:p>
            <w:pPr>
              <w:bidi w:val="0"/>
              <w:rPr>
                <w:rFonts w:hint="eastAsia" w:ascii="宋体" w:hAnsi="宋体" w:eastAsia="宋体" w:cs="宋体"/>
              </w:rPr>
            </w:pPr>
            <w:r>
              <w:rPr>
                <w:rFonts w:hint="eastAsia" w:ascii="宋体" w:hAnsi="宋体" w:eastAsia="宋体" w:cs="宋体"/>
              </w:rPr>
              <w:t>《国务院关于印发社会信用体系建设规划纲要</w:t>
            </w:r>
            <w:r>
              <w:rPr>
                <w:rFonts w:hint="eastAsia" w:ascii="宋体" w:hAnsi="宋体" w:eastAsia="宋体" w:cs="宋体"/>
                <w:lang w:val="en-US" w:eastAsia="en-US"/>
              </w:rPr>
              <w:t>（2014-2020</w:t>
            </w:r>
            <w:r>
              <w:rPr>
                <w:rFonts w:hint="eastAsia" w:ascii="宋体" w:hAnsi="宋体" w:eastAsia="宋体" w:cs="宋体"/>
              </w:rPr>
              <w:t>年）的通知》（国发</w:t>
            </w:r>
            <w:r>
              <w:rPr>
                <w:rFonts w:hint="eastAsia" w:ascii="宋体" w:hAnsi="宋体" w:eastAsia="宋体" w:cs="宋体"/>
                <w:lang w:eastAsia="zh-CN"/>
              </w:rPr>
              <w:t>〔</w:t>
            </w:r>
            <w:r>
              <w:rPr>
                <w:rFonts w:hint="eastAsia" w:ascii="宋体" w:hAnsi="宋体" w:eastAsia="宋体" w:cs="宋体"/>
              </w:rPr>
              <w:t>2014</w:t>
            </w:r>
            <w:r>
              <w:rPr>
                <w:rFonts w:hint="eastAsia" w:ascii="宋体" w:hAnsi="宋体" w:eastAsia="宋体" w:cs="宋体"/>
                <w:lang w:eastAsia="zh-CN"/>
              </w:rPr>
              <w:t>〕</w:t>
            </w:r>
            <w:r>
              <w:rPr>
                <w:rFonts w:hint="eastAsia" w:ascii="宋体" w:hAnsi="宋体" w:eastAsia="宋体" w:cs="宋体"/>
              </w:rPr>
              <w:t>21号）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质检总局</w:t>
            </w:r>
          </w:p>
        </w:tc>
      </w:tr>
      <w:tr>
        <w:tblPrEx>
          <w:tblCellMar>
            <w:top w:w="0" w:type="dxa"/>
            <w:left w:w="10" w:type="dxa"/>
            <w:bottom w:w="0" w:type="dxa"/>
            <w:right w:w="10" w:type="dxa"/>
          </w:tblCellMar>
        </w:tblPrEx>
        <w:trPr>
          <w:trHeight w:val="449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（二十三）对因未履行支付工资生效法律文书确定的义务被人民 法院按照有关规定依法采取限制消費措施或依法纳入失信被执行人名单的，限制乘坐飞机、列车软卧、</w:t>
            </w:r>
            <w:r>
              <w:rPr>
                <w:rFonts w:hint="eastAsia" w:ascii="宋体" w:hAnsi="宋体" w:eastAsia="宋体" w:cs="宋体"/>
                <w:sz w:val="24"/>
                <w:szCs w:val="24"/>
                <w:lang w:val="en-US" w:eastAsia="en-US"/>
              </w:rPr>
              <w:t>G</w:t>
            </w:r>
            <w:r>
              <w:rPr>
                <w:rFonts w:hint="eastAsia" w:ascii="宋体" w:hAnsi="宋体" w:eastAsia="宋体" w:cs="宋体"/>
                <w:sz w:val="24"/>
                <w:szCs w:val="24"/>
              </w:rPr>
              <w:t>字头动车组列车、其他动 车组列车一等以上座位等高消费及其他非生活和</w:t>
            </w:r>
            <w:r>
              <w:rPr>
                <w:rFonts w:hint="eastAsia" w:cs="宋体"/>
                <w:sz w:val="24"/>
                <w:szCs w:val="24"/>
                <w:lang w:eastAsia="zh-CN"/>
              </w:rPr>
              <w:t>工</w:t>
            </w:r>
            <w:r>
              <w:rPr>
                <w:rFonts w:hint="eastAsia" w:ascii="宋体" w:hAnsi="宋体" w:eastAsia="宋体" w:cs="宋体"/>
                <w:sz w:val="24"/>
                <w:szCs w:val="24"/>
              </w:rPr>
              <w:t>作必需的消费行为。</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《国务院关于建立完善守信联合激励和失信联合惩戒制度加快推进社会诚信建设的指导意见》（国发</w:t>
            </w:r>
            <w:r>
              <w:rPr>
                <w:rFonts w:hint="eastAsia" w:ascii="宋体" w:hAnsi="宋体" w:eastAsia="宋体" w:cs="宋体"/>
                <w:lang w:eastAsia="zh-CN"/>
              </w:rPr>
              <w:t>〔</w:t>
            </w:r>
            <w:r>
              <w:rPr>
                <w:rFonts w:hint="eastAsia" w:ascii="宋体" w:hAnsi="宋体" w:eastAsia="宋体" w:cs="宋体"/>
              </w:rPr>
              <w:t>2016</w:t>
            </w:r>
            <w:r>
              <w:rPr>
                <w:rFonts w:hint="eastAsia" w:ascii="宋体" w:hAnsi="宋体" w:eastAsia="宋体" w:cs="宋体"/>
                <w:lang w:eastAsia="zh-CN"/>
              </w:rPr>
              <w:t>〕</w:t>
            </w:r>
            <w:r>
              <w:rPr>
                <w:rFonts w:hint="eastAsia" w:ascii="宋体" w:hAnsi="宋体" w:eastAsia="宋体" w:cs="宋体"/>
              </w:rPr>
              <w:t xml:space="preserve">33号） </w:t>
            </w:r>
          </w:p>
          <w:p>
            <w:pPr>
              <w:bidi w:val="0"/>
              <w:ind w:firstLine="480" w:firstLineChars="200"/>
              <w:rPr>
                <w:rFonts w:hint="eastAsia" w:ascii="宋体" w:hAnsi="宋体" w:eastAsia="宋体" w:cs="宋体"/>
              </w:rPr>
            </w:pPr>
            <w:r>
              <w:rPr>
                <w:rFonts w:hint="eastAsia" w:ascii="宋体" w:hAnsi="宋体" w:eastAsia="宋体" w:cs="宋体"/>
                <w:lang w:val="en-US" w:eastAsia="en-US"/>
              </w:rPr>
              <w:t>（</w:t>
            </w:r>
            <w:r>
              <w:rPr>
                <w:rFonts w:hint="eastAsia" w:ascii="宋体" w:hAnsi="宋体" w:eastAsia="宋体" w:cs="宋体"/>
                <w:lang w:val="en-US" w:eastAsia="zh-CN"/>
              </w:rPr>
              <w:t>二</w:t>
            </w:r>
            <w:r>
              <w:rPr>
                <w:rFonts w:hint="eastAsia" w:ascii="宋体" w:hAnsi="宋体" w:eastAsia="宋体" w:cs="宋体"/>
                <w:lang w:val="en-US" w:eastAsia="en-US"/>
              </w:rPr>
              <w:t>）</w:t>
            </w:r>
            <w:r>
              <w:rPr>
                <w:rFonts w:hint="eastAsia" w:ascii="宋体" w:hAnsi="宋体" w:eastAsia="宋体" w:cs="宋体"/>
              </w:rPr>
              <w:t>基本原则。</w:t>
            </w:r>
          </w:p>
          <w:p>
            <w:pPr>
              <w:bidi w:val="0"/>
              <w:ind w:firstLine="480" w:firstLineChars="200"/>
              <w:rPr>
                <w:rFonts w:hint="eastAsia" w:ascii="宋体" w:hAnsi="宋体" w:eastAsia="宋体" w:cs="宋体"/>
              </w:rPr>
            </w:pPr>
            <w:r>
              <w:rPr>
                <w:rFonts w:hint="eastAsia" w:ascii="宋体" w:hAnsi="宋体" w:eastAsia="宋体" w:cs="宋体"/>
                <w:lang w:val="en-US" w:eastAsia="en-US"/>
              </w:rPr>
              <w:t>——</w:t>
            </w:r>
            <w:r>
              <w:rPr>
                <w:rFonts w:hint="eastAsia" w:ascii="宋体" w:hAnsi="宋体" w:eastAsia="宋体" w:cs="宋体"/>
              </w:rPr>
              <w:t>褒扬诚信，惩戒失信。充分运用信用激励和约束手段，加大对诚信主体激励和对严重失信主体惩戒力度，让守信者受益、失信者受限，形成褒扬诚信、惩戒失信的制度机制。</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髙消费行为等措施。支持征信机构采集严重失信行为信息，纳入信用记录和信用报告。引导商业银行、证券期货经营机构、保险公司等金融机构按照风险</w:t>
            </w:r>
            <w:r>
              <w:rPr>
                <w:rFonts w:hint="eastAsia" w:ascii="宋体" w:hAnsi="宋体" w:eastAsia="宋体" w:cs="宋体"/>
                <w:color w:val="000000"/>
                <w:spacing w:val="0"/>
                <w:w w:val="100"/>
                <w:position w:val="0"/>
              </w:rPr>
              <w:t>定价原则，对严重失信主体提高贷款利率和财产保险費率，或者限制向其提供贷款、保荐、承销、保险等服务。</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ascii="宋体" w:hAnsi="宋体" w:eastAsia="宋体" w:cs="宋体"/>
                <w:sz w:val="24"/>
                <w:szCs w:val="24"/>
              </w:rPr>
              <w:t>最高人民法院、</w:t>
            </w:r>
            <w:r>
              <w:rPr>
                <w:rFonts w:hint="eastAsia" w:ascii="宋体" w:hAnsi="宋体" w:eastAsia="宋体" w:cs="宋体"/>
                <w:sz w:val="24"/>
                <w:szCs w:val="24"/>
              </w:rPr>
              <w:br w:type="textWrapping"/>
            </w:r>
            <w:r>
              <w:rPr>
                <w:rFonts w:hint="eastAsia" w:ascii="宋体" w:hAnsi="宋体" w:eastAsia="宋体" w:cs="宋体"/>
                <w:sz w:val="24"/>
                <w:szCs w:val="24"/>
              </w:rPr>
              <w:t>交通运输部、</w:t>
            </w:r>
            <w:r>
              <w:rPr>
                <w:rFonts w:hint="eastAsia" w:ascii="宋体" w:hAnsi="宋体" w:eastAsia="宋体" w:cs="宋体"/>
                <w:sz w:val="24"/>
                <w:szCs w:val="24"/>
              </w:rPr>
              <w:br w:type="textWrapping"/>
            </w:r>
            <w:r>
              <w:rPr>
                <w:rFonts w:hint="eastAsia" w:ascii="宋体" w:hAnsi="宋体" w:eastAsia="宋体" w:cs="宋体"/>
                <w:sz w:val="24"/>
                <w:szCs w:val="24"/>
              </w:rPr>
              <w:t>民航局、</w:t>
            </w:r>
            <w:r>
              <w:rPr>
                <w:rFonts w:hint="eastAsia" w:ascii="宋体" w:hAnsi="宋体" w:eastAsia="宋体" w:cs="宋体"/>
                <w:sz w:val="24"/>
                <w:szCs w:val="24"/>
              </w:rPr>
              <w:br w:type="textWrapping"/>
            </w:r>
            <w:r>
              <w:rPr>
                <w:rFonts w:hint="eastAsia" w:ascii="宋体" w:hAnsi="宋体" w:eastAsia="宋体" w:cs="宋体"/>
                <w:sz w:val="24"/>
                <w:szCs w:val="24"/>
              </w:rPr>
              <w:t>铁路总公司等</w:t>
            </w:r>
            <w:r>
              <w:rPr>
                <w:rFonts w:hint="eastAsia" w:ascii="宋体" w:hAnsi="宋体" w:eastAsia="宋体" w:cs="宋体"/>
                <w:sz w:val="24"/>
                <w:szCs w:val="24"/>
              </w:rPr>
              <w:br w:type="textWrapping"/>
            </w:r>
            <w:r>
              <w:rPr>
                <w:rFonts w:hint="eastAsia" w:ascii="宋体" w:hAnsi="宋体" w:eastAsia="宋体" w:cs="宋体"/>
                <w:sz w:val="24"/>
                <w:szCs w:val="24"/>
              </w:rPr>
              <w:t>有关单位</w:t>
            </w:r>
          </w:p>
        </w:tc>
      </w:tr>
      <w:tr>
        <w:tblPrEx>
          <w:tblCellMar>
            <w:top w:w="0" w:type="dxa"/>
            <w:left w:w="10" w:type="dxa"/>
            <w:bottom w:w="0" w:type="dxa"/>
            <w:right w:w="10" w:type="dxa"/>
          </w:tblCellMar>
        </w:tblPrEx>
        <w:trPr>
          <w:trHeight w:val="441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（二十四）对因未履行支付工资生效法律文</w:t>
            </w:r>
            <w:r>
              <w:rPr>
                <w:rFonts w:hint="eastAsia" w:cs="宋体"/>
                <w:sz w:val="24"/>
                <w:szCs w:val="24"/>
                <w:lang w:eastAsia="zh-CN"/>
              </w:rPr>
              <w:t>书</w:t>
            </w:r>
            <w:r>
              <w:rPr>
                <w:rFonts w:hint="eastAsia" w:ascii="宋体" w:hAnsi="宋体" w:eastAsia="宋体" w:cs="宋体"/>
                <w:sz w:val="24"/>
                <w:szCs w:val="24"/>
              </w:rPr>
              <w:t>确定的义务被人民 法院按照有关规定依法采取限制消费措施或依法纳入失信被执行人名单的，限制新建、扩建、</w:t>
            </w:r>
            <w:r>
              <w:rPr>
                <w:rFonts w:hint="eastAsia" w:cs="宋体"/>
                <w:sz w:val="24"/>
                <w:szCs w:val="24"/>
                <w:lang w:eastAsia="zh-CN"/>
              </w:rPr>
              <w:t>高</w:t>
            </w:r>
            <w:r>
              <w:rPr>
                <w:rFonts w:hint="eastAsia" w:ascii="宋体" w:hAnsi="宋体" w:eastAsia="宋体" w:cs="宋体"/>
                <w:sz w:val="24"/>
                <w:szCs w:val="24"/>
              </w:rPr>
              <w:t>档装修房屋,购买非经营必需车 辆等非生活和工作必需的消费行为。</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sz w:val="24"/>
                <w:szCs w:val="24"/>
              </w:rPr>
            </w:pPr>
            <w:r>
              <w:rPr>
                <w:rFonts w:hint="eastAsia" w:ascii="宋体" w:hAnsi="宋体" w:eastAsia="宋体" w:cs="宋体"/>
                <w:sz w:val="24"/>
                <w:szCs w:val="24"/>
              </w:rPr>
              <w:t>《中共中央办公厅 国务院办公厅印发关于加快推进失信被执行人信用监督、警示和惩戒机制建设的意见》的通知（中办发</w:t>
            </w:r>
            <w:r>
              <w:rPr>
                <w:rFonts w:hint="eastAsia" w:ascii="宋体" w:hAnsi="宋体" w:eastAsia="宋体" w:cs="宋体"/>
                <w:sz w:val="24"/>
                <w:szCs w:val="24"/>
                <w:lang w:eastAsia="zh-CN"/>
              </w:rPr>
              <w:t>〔</w:t>
            </w:r>
            <w:r>
              <w:rPr>
                <w:rFonts w:hint="eastAsia" w:ascii="宋体" w:hAnsi="宋体" w:eastAsia="宋体" w:cs="宋体"/>
                <w:sz w:val="24"/>
                <w:szCs w:val="24"/>
              </w:rPr>
              <w:t>2016</w:t>
            </w:r>
            <w:r>
              <w:rPr>
                <w:rFonts w:hint="eastAsia" w:ascii="宋体" w:hAnsi="宋体" w:eastAsia="宋体" w:cs="宋体"/>
                <w:sz w:val="24"/>
                <w:szCs w:val="24"/>
                <w:lang w:eastAsia="zh-CN"/>
              </w:rPr>
              <w:t>〕</w:t>
            </w:r>
            <w:r>
              <w:rPr>
                <w:rFonts w:hint="eastAsia" w:ascii="宋体" w:hAnsi="宋体" w:eastAsia="宋体" w:cs="宋体"/>
                <w:sz w:val="24"/>
                <w:szCs w:val="24"/>
              </w:rPr>
              <w:t>64号）</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二、加强联合惩戒</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（七）限制高消费及有关消费</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eastAsia="zh-CN"/>
              </w:rPr>
              <w:t>.新</w:t>
            </w:r>
            <w:r>
              <w:rPr>
                <w:rFonts w:hint="eastAsia" w:ascii="宋体" w:hAnsi="宋体" w:eastAsia="宋体" w:cs="宋体"/>
                <w:sz w:val="24"/>
                <w:szCs w:val="24"/>
              </w:rPr>
              <w:t>建、扩建、高档装修房屋等限制。限制失信被执行人及失信被执行人的法定代表人、主要负责人、实际控制影响债务履行的直接责任人员新建、扩建、高档装修房屋，购买非经营必需车辆等非生活和工作必需的消费行为。</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《国务院关于建立完善守信联合激励和失信联合惩戒制度加快推进社会诚信建设的指导意见》（国发（2016） 33号） </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rPr>
            </w:pPr>
            <w:r>
              <w:rPr>
                <w:rFonts w:hint="eastAsia" w:ascii="宋体" w:hAnsi="宋体" w:eastAsia="宋体" w:cs="宋体"/>
                <w:sz w:val="24"/>
                <w:szCs w:val="24"/>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w:t>
            </w:r>
            <w:r>
              <w:rPr>
                <w:rFonts w:hint="eastAsia" w:ascii="宋体" w:hAnsi="宋体" w:eastAsia="宋体" w:cs="宋体"/>
                <w:sz w:val="24"/>
                <w:szCs w:val="24"/>
                <w:lang w:eastAsia="zh-CN"/>
              </w:rPr>
              <w:t>飞</w:t>
            </w:r>
            <w:r>
              <w:rPr>
                <w:rFonts w:hint="eastAsia" w:ascii="宋体" w:hAnsi="宋体" w:eastAsia="宋体" w:cs="宋体"/>
                <w:sz w:val="24"/>
                <w:szCs w:val="24"/>
              </w:rPr>
              <w:t>机、乘坐高等级列</w:t>
            </w:r>
            <w:r>
              <w:rPr>
                <w:rFonts w:hint="eastAsia" w:ascii="宋体" w:hAnsi="宋体" w:eastAsia="宋体" w:cs="宋体"/>
                <w:sz w:val="24"/>
                <w:szCs w:val="24"/>
                <w:lang w:eastAsia="zh-CN"/>
              </w:rPr>
              <w:t>车</w:t>
            </w:r>
            <w:r>
              <w:rPr>
                <w:rFonts w:hint="eastAsia" w:ascii="宋体" w:hAnsi="宋体" w:eastAsia="宋体" w:cs="宋体"/>
                <w:sz w:val="24"/>
                <w:szCs w:val="24"/>
              </w:rPr>
              <w:t>和席次、旅游度假、入住星级以上宾馆及其他高消费行为等措施。支持征信机构采集严重失信行为信息，纳入信用记录和信用报告。引</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住房城乡建设部等有关单位</w:t>
            </w:r>
          </w:p>
        </w:tc>
      </w:tr>
      <w:tr>
        <w:tblPrEx>
          <w:tblCellMar>
            <w:top w:w="0" w:type="dxa"/>
            <w:left w:w="10" w:type="dxa"/>
            <w:bottom w:w="0" w:type="dxa"/>
            <w:right w:w="10" w:type="dxa"/>
          </w:tblCellMar>
        </w:tblPrEx>
        <w:trPr>
          <w:trHeight w:val="62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ascii="宋体" w:hAnsi="宋体" w:eastAsia="宋体" w:cs="宋体"/>
                <w:sz w:val="24"/>
                <w:szCs w:val="24"/>
              </w:rPr>
            </w:pPr>
          </w:p>
        </w:tc>
        <w:tc>
          <w:tcPr>
            <w:tcW w:w="10269" w:type="dxa"/>
            <w:tcBorders>
              <w:top w:val="single" w:color="auto" w:sz="4" w:space="0"/>
              <w:left w:val="single" w:color="auto" w:sz="4" w:space="0"/>
              <w:bottom w:val="single" w:color="auto" w:sz="4" w:space="0"/>
            </w:tcBorders>
            <w:shd w:val="clear" w:color="auto" w:fill="FFFFFF"/>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导商业银行、证券期货经营机构、保险公司等金融机构按照风险定价原则，对严重失信主体提高贷款利率和财产保险费率，或者限制向其提供贷款、保荐、承销、保险等服务。</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221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（二十五）限制享受投资等领域优惠政策。</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sz w:val="24"/>
                <w:szCs w:val="24"/>
              </w:rPr>
            </w:pPr>
            <w:r>
              <w:rPr>
                <w:rFonts w:hint="eastAsia" w:ascii="宋体" w:hAnsi="宋体" w:eastAsia="宋体" w:cs="宋体"/>
                <w:sz w:val="24"/>
                <w:szCs w:val="24"/>
              </w:rPr>
              <w:t>《国务院关于促进市场公平竞争维护市场正常秩序的若干意见》（国发</w:t>
            </w:r>
            <w:r>
              <w:rPr>
                <w:rFonts w:hint="eastAsia" w:ascii="宋体" w:hAnsi="宋体" w:eastAsia="宋体" w:cs="宋体"/>
                <w:sz w:val="24"/>
                <w:szCs w:val="24"/>
                <w:lang w:eastAsia="zh-CN"/>
              </w:rPr>
              <w:t>〔</w:t>
            </w:r>
            <w:r>
              <w:rPr>
                <w:rFonts w:hint="eastAsia" w:ascii="宋体" w:hAnsi="宋体" w:eastAsia="宋体" w:cs="宋体"/>
                <w:sz w:val="24"/>
                <w:szCs w:val="24"/>
              </w:rPr>
              <w:t>2014</w:t>
            </w:r>
            <w:r>
              <w:rPr>
                <w:rFonts w:hint="eastAsia" w:ascii="宋体" w:hAnsi="宋体" w:eastAsia="宋体" w:cs="宋体"/>
                <w:sz w:val="24"/>
                <w:szCs w:val="24"/>
                <w:lang w:eastAsia="zh-CN"/>
              </w:rPr>
              <w:t>〕</w:t>
            </w:r>
            <w:r>
              <w:rPr>
                <w:rFonts w:hint="eastAsia" w:ascii="宋体" w:hAnsi="宋体" w:eastAsia="宋体" w:cs="宋体"/>
                <w:sz w:val="24"/>
                <w:szCs w:val="24"/>
              </w:rPr>
              <w:t>20号）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w:t>
            </w:r>
            <w:r>
              <w:rPr>
                <w:rFonts w:hint="eastAsia" w:ascii="宋体" w:hAnsi="宋体" w:eastAsia="宋体" w:cs="宋体"/>
                <w:sz w:val="24"/>
                <w:szCs w:val="24"/>
                <w:lang w:val="zh-CN" w:eastAsia="zh-CN"/>
              </w:rPr>
              <w:t>名单”</w:t>
            </w:r>
            <w:r>
              <w:rPr>
                <w:rFonts w:hint="eastAsia" w:ascii="宋体" w:hAnsi="宋体" w:eastAsia="宋体" w:cs="宋体"/>
                <w:sz w:val="24"/>
                <w:szCs w:val="24"/>
              </w:rPr>
              <w:t>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国家发展改革委等有关单位</w:t>
            </w:r>
          </w:p>
        </w:tc>
      </w:tr>
      <w:tr>
        <w:tblPrEx>
          <w:tblCellMar>
            <w:top w:w="0" w:type="dxa"/>
            <w:left w:w="10" w:type="dxa"/>
            <w:bottom w:w="0" w:type="dxa"/>
            <w:right w:w="10" w:type="dxa"/>
          </w:tblCellMar>
        </w:tblPrEx>
        <w:trPr>
          <w:trHeight w:val="646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（二十六）按程序及时撤销相关荣誉，取消惩戒对象参加评先评优资格，不得向惩戒对象授予</w:t>
            </w:r>
            <w:r>
              <w:rPr>
                <w:rFonts w:hint="eastAsia" w:ascii="宋体" w:hAnsi="宋体" w:eastAsia="宋体" w:cs="宋体"/>
                <w:sz w:val="24"/>
                <w:szCs w:val="24"/>
                <w:lang w:val="zh-CN" w:eastAsia="zh-CN"/>
              </w:rPr>
              <w:t>“文</w:t>
            </w:r>
            <w:r>
              <w:rPr>
                <w:rFonts w:hint="eastAsia" w:ascii="宋体" w:hAnsi="宋体" w:eastAsia="宋体" w:cs="宋体"/>
                <w:sz w:val="24"/>
                <w:szCs w:val="24"/>
              </w:rPr>
              <w:t>明单位</w:t>
            </w:r>
            <w:r>
              <w:rPr>
                <w:rFonts w:hint="eastAsia"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zh-CN" w:eastAsia="zh-CN"/>
              </w:rPr>
              <w:t>“道</w:t>
            </w:r>
            <w:r>
              <w:rPr>
                <w:rFonts w:hint="eastAsia" w:ascii="宋体" w:hAnsi="宋体" w:eastAsia="宋体" w:cs="宋体"/>
                <w:sz w:val="24"/>
                <w:szCs w:val="24"/>
              </w:rPr>
              <w:t>德模范”、</w:t>
            </w:r>
            <w:r>
              <w:rPr>
                <w:rFonts w:hint="eastAsia" w:ascii="宋体" w:hAnsi="宋体" w:eastAsia="宋体" w:cs="宋体"/>
                <w:sz w:val="24"/>
                <w:szCs w:val="24"/>
                <w:lang w:val="zh-CN" w:eastAsia="zh-CN"/>
              </w:rPr>
              <w:t>“劳</w:t>
            </w:r>
            <w:r>
              <w:rPr>
                <w:rFonts w:hint="eastAsia" w:ascii="宋体" w:hAnsi="宋体" w:eastAsia="宋体" w:cs="宋体"/>
                <w:sz w:val="24"/>
                <w:szCs w:val="24"/>
              </w:rPr>
              <w:t>动模范”、</w:t>
            </w:r>
            <w:r>
              <w:rPr>
                <w:rFonts w:hint="eastAsia" w:ascii="宋体" w:hAnsi="宋体" w:eastAsia="宋体" w:cs="宋体"/>
                <w:sz w:val="24"/>
                <w:szCs w:val="24"/>
                <w:lang w:val="zh-CN" w:eastAsia="zh-CN"/>
              </w:rPr>
              <w:t>“五</w:t>
            </w:r>
            <w:r>
              <w:rPr>
                <w:rFonts w:hint="eastAsia" w:ascii="宋体" w:hAnsi="宋体" w:eastAsia="宋体" w:cs="宋体"/>
                <w:sz w:val="24"/>
                <w:szCs w:val="24"/>
              </w:rPr>
              <w:t>一劳动奖章”等荣誉。</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sz w:val="24"/>
                <w:szCs w:val="24"/>
              </w:rPr>
            </w:pPr>
            <w:r>
              <w:rPr>
                <w:rFonts w:hint="eastAsia" w:ascii="宋体" w:hAnsi="宋体" w:eastAsia="宋体" w:cs="宋体"/>
                <w:sz w:val="24"/>
                <w:szCs w:val="24"/>
              </w:rPr>
              <w:t>《关于印发</w:t>
            </w:r>
            <w:r>
              <w:rPr>
                <w:rFonts w:hint="eastAsia" w:ascii="宋体" w:hAnsi="宋体" w:eastAsia="宋体" w:cs="宋体"/>
                <w:sz w:val="24"/>
                <w:szCs w:val="24"/>
                <w:lang w:val="zh-CN" w:eastAsia="zh-CN"/>
              </w:rPr>
              <w:t>〈全国</w:t>
            </w:r>
            <w:r>
              <w:rPr>
                <w:rFonts w:hint="eastAsia" w:ascii="宋体" w:hAnsi="宋体" w:eastAsia="宋体" w:cs="宋体"/>
                <w:sz w:val="24"/>
                <w:szCs w:val="24"/>
              </w:rPr>
              <w:t>道德模范荣誉称号管理暂行</w:t>
            </w:r>
            <w:r>
              <w:rPr>
                <w:rFonts w:hint="eastAsia" w:ascii="宋体" w:hAnsi="宋体" w:eastAsia="宋体" w:cs="宋体"/>
                <w:sz w:val="24"/>
                <w:szCs w:val="24"/>
                <w:lang w:val="zh-CN" w:eastAsia="zh-CN"/>
              </w:rPr>
              <w:t>办法〉</w:t>
            </w:r>
            <w:r>
              <w:rPr>
                <w:rFonts w:hint="eastAsia" w:ascii="宋体" w:hAnsi="宋体" w:eastAsia="宋体" w:cs="宋体"/>
                <w:sz w:val="24"/>
                <w:szCs w:val="24"/>
              </w:rPr>
              <w:t>的通知》（文明委</w:t>
            </w:r>
            <w:r>
              <w:rPr>
                <w:rFonts w:hint="eastAsia" w:ascii="宋体" w:hAnsi="宋体" w:eastAsia="宋体" w:cs="宋体"/>
                <w:sz w:val="24"/>
                <w:szCs w:val="24"/>
                <w:lang w:eastAsia="zh-CN"/>
              </w:rPr>
              <w:t>〔</w:t>
            </w:r>
            <w:r>
              <w:rPr>
                <w:rFonts w:hint="eastAsia" w:ascii="宋体" w:hAnsi="宋体" w:eastAsia="宋体" w:cs="宋体"/>
                <w:sz w:val="24"/>
                <w:szCs w:val="24"/>
              </w:rPr>
              <w:t>2015</w:t>
            </w:r>
            <w:r>
              <w:rPr>
                <w:rFonts w:hint="eastAsia" w:ascii="宋体" w:hAnsi="宋体" w:eastAsia="宋体" w:cs="宋体"/>
                <w:sz w:val="24"/>
                <w:szCs w:val="24"/>
                <w:lang w:eastAsia="zh-CN"/>
              </w:rPr>
              <w:t>〕</w:t>
            </w:r>
            <w:r>
              <w:rPr>
                <w:rFonts w:hint="eastAsia" w:ascii="宋体" w:hAnsi="宋体" w:eastAsia="宋体" w:cs="宋体"/>
                <w:sz w:val="24"/>
                <w:szCs w:val="24"/>
              </w:rPr>
              <w:t>6号）</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第七条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全国道德模范及提名奖获得者产生道德滑坡，有下列情形之一的，所在属地管理责任部门向中央文明办提交调査报告，经中央文明办批准后撤销荣誉称号，收回奖章和证书。</w:t>
            </w:r>
          </w:p>
          <w:p>
            <w:pPr>
              <w:bidi w:val="0"/>
              <w:ind w:firstLine="480" w:firstLineChars="200"/>
              <w:rPr>
                <w:rFonts w:hint="eastAsia" w:ascii="宋体" w:hAnsi="宋体" w:eastAsia="宋体" w:cs="宋体"/>
                <w:sz w:val="24"/>
                <w:szCs w:val="24"/>
              </w:rPr>
            </w:pPr>
            <w:bookmarkStart w:id="61" w:name="bookmark86"/>
            <w:r>
              <w:rPr>
                <w:rFonts w:hint="eastAsia" w:ascii="宋体" w:hAnsi="宋体" w:eastAsia="宋体" w:cs="宋体"/>
                <w:sz w:val="24"/>
                <w:szCs w:val="24"/>
              </w:rPr>
              <w:t>（</w:t>
            </w:r>
            <w:bookmarkEnd w:id="61"/>
            <w:r>
              <w:rPr>
                <w:rFonts w:hint="eastAsia" w:ascii="宋体" w:hAnsi="宋体" w:eastAsia="宋体" w:cs="宋体"/>
                <w:sz w:val="24"/>
                <w:szCs w:val="24"/>
              </w:rPr>
              <w:t>三）生产经营活动严重失信的；</w:t>
            </w:r>
          </w:p>
          <w:p>
            <w:pPr>
              <w:bidi w:val="0"/>
              <w:ind w:firstLine="480" w:firstLineChars="200"/>
              <w:rPr>
                <w:rFonts w:hint="eastAsia" w:ascii="宋体" w:hAnsi="宋体" w:eastAsia="宋体" w:cs="宋体"/>
                <w:sz w:val="24"/>
                <w:szCs w:val="24"/>
              </w:rPr>
            </w:pPr>
            <w:bookmarkStart w:id="62" w:name="bookmark87"/>
            <w:r>
              <w:rPr>
                <w:rFonts w:hint="eastAsia" w:ascii="宋体" w:hAnsi="宋体" w:eastAsia="宋体" w:cs="宋体"/>
                <w:sz w:val="24"/>
                <w:szCs w:val="24"/>
              </w:rPr>
              <w:t>（</w:t>
            </w:r>
            <w:bookmarkEnd w:id="62"/>
            <w:r>
              <w:rPr>
                <w:rFonts w:hint="eastAsia" w:ascii="宋体" w:hAnsi="宋体" w:eastAsia="宋体" w:cs="宋体"/>
                <w:sz w:val="24"/>
                <w:szCs w:val="24"/>
              </w:rPr>
              <w:t>四）违反环境保护、计划生育、民族团结和税务、工商、安全生产政策法规的；</w:t>
            </w:r>
          </w:p>
          <w:p>
            <w:pPr>
              <w:bidi w:val="0"/>
              <w:rPr>
                <w:rFonts w:hint="eastAsia" w:ascii="宋体" w:hAnsi="宋体" w:eastAsia="宋体" w:cs="宋体"/>
                <w:sz w:val="24"/>
                <w:szCs w:val="24"/>
              </w:rPr>
            </w:pPr>
            <w:r>
              <w:rPr>
                <w:rFonts w:hint="eastAsia" w:ascii="宋体" w:hAnsi="宋体" w:eastAsia="宋体" w:cs="宋体"/>
                <w:sz w:val="24"/>
                <w:szCs w:val="24"/>
              </w:rPr>
              <w:t>《全国五一劳动奖状全国五一劳动奖章全国工人先锋号评选管理工作暂行办法》（总工发</w:t>
            </w:r>
            <w:r>
              <w:rPr>
                <w:rFonts w:hint="eastAsia" w:ascii="宋体" w:hAnsi="宋体" w:eastAsia="宋体" w:cs="宋体"/>
                <w:sz w:val="24"/>
                <w:szCs w:val="24"/>
                <w:lang w:eastAsia="zh-CN"/>
              </w:rPr>
              <w:t>〔</w:t>
            </w:r>
            <w:r>
              <w:rPr>
                <w:rFonts w:hint="eastAsia" w:ascii="宋体" w:hAnsi="宋体" w:eastAsia="宋体" w:cs="宋体"/>
                <w:sz w:val="24"/>
                <w:szCs w:val="24"/>
              </w:rPr>
              <w:t>2011</w:t>
            </w:r>
            <w:r>
              <w:rPr>
                <w:rFonts w:hint="eastAsia" w:ascii="宋体" w:hAnsi="宋体" w:eastAsia="宋体" w:cs="宋体"/>
                <w:sz w:val="24"/>
                <w:szCs w:val="24"/>
                <w:lang w:eastAsia="zh-CN"/>
              </w:rPr>
              <w:t>〕</w:t>
            </w:r>
            <w:r>
              <w:rPr>
                <w:rFonts w:hint="eastAsia" w:ascii="宋体" w:hAnsi="宋体" w:eastAsia="宋体" w:cs="宋体"/>
                <w:sz w:val="24"/>
                <w:szCs w:val="24"/>
              </w:rPr>
              <w:t xml:space="preserve"> 77号）</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第七条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评选全国五一劳动奖状、全国五一劳动奖章、全国工人先锋号要面向基层、面向一线职工，坚持公开、公平、公正的原则，严格推荐评选审批程序，接受群众监督。</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（四）有拖欠职工工资，欠缴职工养老、工伤、医疗、失业、生育保险，违反国家计划生育政策，未组建工会</w:t>
            </w:r>
            <w:r>
              <w:rPr>
                <w:rFonts w:hint="eastAsia" w:ascii="宋体" w:hAnsi="宋体" w:eastAsia="宋体" w:cs="宋体"/>
                <w:sz w:val="24"/>
                <w:szCs w:val="24"/>
                <w:lang w:eastAsia="zh-CN"/>
              </w:rPr>
              <w:t>，</w:t>
            </w:r>
            <w:r>
              <w:rPr>
                <w:rFonts w:hint="eastAsia" w:ascii="宋体" w:hAnsi="宋体" w:eastAsia="宋体" w:cs="宋体"/>
                <w:sz w:val="24"/>
                <w:szCs w:val="24"/>
              </w:rPr>
              <w:t>未建立职代会和集体合同制度，劳动关系不和谐，能源消耗超标，环境污染严重等情形之一的企业和企业负责人当年不得</w:t>
            </w:r>
            <w:r>
              <w:rPr>
                <w:rFonts w:hint="eastAsia" w:ascii="宋体" w:hAnsi="宋体" w:eastAsia="宋体" w:cs="宋体"/>
                <w:sz w:val="24"/>
                <w:szCs w:val="24"/>
                <w:lang w:eastAsia="zh-CN"/>
              </w:rPr>
              <w:t>申</w:t>
            </w:r>
            <w:r>
              <w:rPr>
                <w:rFonts w:hint="eastAsia" w:ascii="宋体" w:hAnsi="宋体" w:eastAsia="宋体" w:cs="宋体"/>
                <w:sz w:val="24"/>
                <w:szCs w:val="24"/>
              </w:rPr>
              <w:t>报全国五一劳动奖状、全国五一劳动奖章。发生安全生产事故、严重职业危害或</w:t>
            </w:r>
            <w:r>
              <w:rPr>
                <w:rFonts w:hint="eastAsia" w:ascii="宋体" w:hAnsi="宋体" w:eastAsia="宋体" w:cs="宋体"/>
                <w:sz w:val="24"/>
                <w:szCs w:val="24"/>
                <w:lang w:eastAsia="zh-CN"/>
              </w:rPr>
              <w:t>群</w:t>
            </w:r>
            <w:r>
              <w:rPr>
                <w:rFonts w:hint="eastAsia" w:ascii="宋体" w:hAnsi="宋体" w:eastAsia="宋体" w:cs="宋体"/>
                <w:sz w:val="24"/>
                <w:szCs w:val="24"/>
              </w:rPr>
              <w:t>体性事件的企业和企业负责人自事发起三年内不得申报全国五一劳动奖状、全国五一劳动奖章。</w:t>
            </w:r>
          </w:p>
          <w:p>
            <w:pPr>
              <w:bidi w:val="0"/>
              <w:rPr>
                <w:rFonts w:hint="eastAsia" w:ascii="宋体" w:hAnsi="宋体" w:eastAsia="宋体" w:cs="宋体"/>
                <w:sz w:val="24"/>
                <w:szCs w:val="24"/>
              </w:rPr>
            </w:pPr>
            <w:r>
              <w:rPr>
                <w:rFonts w:hint="eastAsia" w:ascii="宋体" w:hAnsi="宋体" w:eastAsia="宋体" w:cs="宋体"/>
                <w:sz w:val="24"/>
                <w:szCs w:val="24"/>
              </w:rPr>
              <w:t>《国务院关于促进市场公平竞争维护市场正常秩序的若干意见》（国发</w:t>
            </w:r>
            <w:r>
              <w:rPr>
                <w:rFonts w:hint="eastAsia" w:ascii="宋体" w:hAnsi="宋体" w:eastAsia="宋体" w:cs="宋体"/>
                <w:sz w:val="24"/>
                <w:szCs w:val="24"/>
                <w:lang w:eastAsia="zh-CN"/>
              </w:rPr>
              <w:t>〔</w:t>
            </w:r>
            <w:r>
              <w:rPr>
                <w:rFonts w:hint="eastAsia" w:ascii="宋体" w:hAnsi="宋体" w:eastAsia="宋体" w:cs="宋体"/>
                <w:sz w:val="24"/>
                <w:szCs w:val="24"/>
              </w:rPr>
              <w:t>2014</w:t>
            </w:r>
            <w:r>
              <w:rPr>
                <w:rFonts w:hint="eastAsia" w:ascii="宋体" w:hAnsi="宋体" w:eastAsia="宋体" w:cs="宋体"/>
                <w:sz w:val="24"/>
                <w:szCs w:val="24"/>
                <w:lang w:eastAsia="zh-CN"/>
              </w:rPr>
              <w:t>〕</w:t>
            </w:r>
            <w:r>
              <w:rPr>
                <w:rFonts w:hint="eastAsia" w:ascii="宋体" w:hAnsi="宋体" w:eastAsia="宋体" w:cs="宋体"/>
                <w:sz w:val="24"/>
                <w:szCs w:val="24"/>
              </w:rPr>
              <w:t>20号）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w:t>
            </w:r>
            <w:r>
              <w:rPr>
                <w:rFonts w:hint="eastAsia" w:ascii="宋体" w:hAnsi="宋体" w:eastAsia="宋体" w:cs="宋体"/>
                <w:sz w:val="24"/>
                <w:szCs w:val="24"/>
                <w:lang w:val="zh-CN" w:eastAsia="zh-CN"/>
              </w:rPr>
              <w:t>名单”</w:t>
            </w:r>
            <w:r>
              <w:rPr>
                <w:rFonts w:hint="eastAsia" w:ascii="宋体" w:hAnsi="宋体" w:eastAsia="宋体" w:cs="宋体"/>
                <w:sz w:val="24"/>
                <w:szCs w:val="24"/>
              </w:rPr>
              <w:t>制度。对守信主体予以支持和激励，对失信主体在经营、投融资、取得政府供应土地、进出口、岀入境、注册新公司、工程招投标、政府采购、获得荣誉、安全许可、生产许可、从业任职资格、资质审核等方面依法予以限制或禁止，对严重违法失信主体实行市场禁入制度。</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rPr>
                <w:rFonts w:hint="eastAsia" w:ascii="宋体" w:hAnsi="宋体" w:eastAsia="宋体" w:cs="宋体"/>
                <w:sz w:val="24"/>
                <w:szCs w:val="24"/>
              </w:rPr>
            </w:pPr>
            <w:r>
              <w:rPr>
                <w:rFonts w:hint="eastAsia" w:ascii="宋体" w:hAnsi="宋体" w:eastAsia="宋体" w:cs="宋体"/>
                <w:sz w:val="24"/>
                <w:szCs w:val="24"/>
              </w:rPr>
              <w:t>中央文明办、 全国总工会、 共青团中央、</w:t>
            </w:r>
          </w:p>
          <w:p>
            <w:pPr>
              <w:pStyle w:val="11"/>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24"/>
                <w:szCs w:val="24"/>
                <w:lang w:eastAsia="zh-CN"/>
              </w:rPr>
            </w:pPr>
            <w:r>
              <w:rPr>
                <w:rFonts w:hint="eastAsia" w:ascii="宋体" w:hAnsi="宋体" w:eastAsia="宋体" w:cs="宋体"/>
                <w:sz w:val="24"/>
                <w:szCs w:val="24"/>
              </w:rPr>
              <w:t>全国妇联等 有关单位</w:t>
            </w:r>
          </w:p>
        </w:tc>
      </w:tr>
      <w:tr>
        <w:tblPrEx>
          <w:tblCellMar>
            <w:top w:w="0" w:type="dxa"/>
            <w:left w:w="10" w:type="dxa"/>
            <w:bottom w:w="0" w:type="dxa"/>
            <w:right w:w="10" w:type="dxa"/>
          </w:tblCellMar>
        </w:tblPrEx>
        <w:trPr>
          <w:trHeight w:val="666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sz w:val="24"/>
                <w:szCs w:val="24"/>
              </w:rPr>
              <w:t>（二十七）限制招录（聘）为公务员或事业单位工作人员。</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sz w:val="24"/>
                <w:szCs w:val="24"/>
              </w:rPr>
            </w:pPr>
            <w:r>
              <w:rPr>
                <w:rFonts w:hint="eastAsia" w:ascii="宋体" w:hAnsi="宋体" w:eastAsia="宋体" w:cs="宋体"/>
                <w:sz w:val="24"/>
                <w:szCs w:val="24"/>
              </w:rPr>
              <w:t>《中华人民共和国公务员法》</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第十一条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公务员应当具备下列条件：</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（一）具</w:t>
            </w:r>
            <w:r>
              <w:rPr>
                <w:rFonts w:hint="eastAsia" w:ascii="宋体" w:hAnsi="宋体" w:eastAsia="宋体" w:cs="宋体"/>
                <w:sz w:val="24"/>
                <w:szCs w:val="24"/>
              </w:rPr>
              <w:t>有中华人民共和国国籍；</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年满十八周岁；</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拥护中华人民共和国宪法；</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具有良好的品行；</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 xml:space="preserve">具有正常履行职责的身体条件； </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具有符合职位要求的文化程度和工作能力;</w:t>
            </w:r>
          </w:p>
          <w:p>
            <w:pPr>
              <w:bidi w:val="0"/>
              <w:ind w:firstLine="480" w:firstLineChars="200"/>
              <w:rPr>
                <w:rFonts w:hint="eastAsia" w:ascii="宋体" w:hAnsi="宋体" w:eastAsia="宋体" w:cs="宋体"/>
                <w:sz w:val="24"/>
                <w:szCs w:val="24"/>
              </w:rPr>
            </w:pPr>
            <w:bookmarkStart w:id="63" w:name="bookmark90"/>
            <w:r>
              <w:rPr>
                <w:rFonts w:hint="eastAsia" w:ascii="宋体" w:hAnsi="宋体" w:eastAsia="宋体" w:cs="宋体"/>
                <w:sz w:val="24"/>
                <w:szCs w:val="24"/>
              </w:rPr>
              <w:t>（</w:t>
            </w:r>
            <w:bookmarkEnd w:id="63"/>
            <w:r>
              <w:rPr>
                <w:rFonts w:hint="eastAsia" w:ascii="宋体" w:hAnsi="宋体" w:eastAsia="宋体" w:cs="宋体"/>
                <w:sz w:val="24"/>
                <w:szCs w:val="24"/>
              </w:rPr>
              <w:t>七）法律规定的其他条件。</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第二十一条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录用担任主任科员以下及其他相当职务层次的非领导职务公务员，采取公开考试、严格考察、平等竞争、择优录取的办法。</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民族</w:t>
            </w:r>
            <w:r>
              <w:rPr>
                <w:rFonts w:hint="eastAsia" w:ascii="宋体" w:hAnsi="宋体" w:eastAsia="宋体" w:cs="宋体"/>
                <w:sz w:val="24"/>
                <w:szCs w:val="24"/>
                <w:lang w:val="zh-CN" w:eastAsia="zh-CN"/>
              </w:rPr>
              <w:t>自治</w:t>
            </w:r>
            <w:r>
              <w:rPr>
                <w:rFonts w:hint="eastAsia" w:ascii="宋体" w:hAnsi="宋体" w:eastAsia="宋体" w:cs="宋体"/>
                <w:sz w:val="24"/>
                <w:szCs w:val="24"/>
              </w:rPr>
              <w:t>地方依照前款规定录用公务员时，依照法律和有关规定对少数民族报考者予以适当照顾。</w:t>
            </w:r>
          </w:p>
          <w:p>
            <w:pPr>
              <w:bidi w:val="0"/>
              <w:rPr>
                <w:rFonts w:hint="eastAsia" w:ascii="宋体" w:hAnsi="宋体" w:eastAsia="宋体" w:cs="宋体"/>
                <w:sz w:val="24"/>
                <w:szCs w:val="24"/>
              </w:rPr>
            </w:pPr>
            <w:r>
              <w:rPr>
                <w:rFonts w:hint="eastAsia" w:ascii="宋体" w:hAnsi="宋体" w:eastAsia="宋体" w:cs="宋体"/>
                <w:sz w:val="24"/>
                <w:szCs w:val="24"/>
              </w:rPr>
              <w:t>《事业单位公开招聘人员暂行规定》</w:t>
            </w:r>
          </w:p>
          <w:p>
            <w:pPr>
              <w:numPr>
                <w:ilvl w:val="0"/>
                <w:numId w:val="8"/>
              </w:numPr>
              <w:bidi w:val="0"/>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应聘人员必须具备下列条件：</w:t>
            </w:r>
          </w:p>
          <w:p>
            <w:pPr>
              <w:numPr>
                <w:ilvl w:val="0"/>
                <w:numId w:val="9"/>
              </w:numPr>
              <w:bidi w:val="0"/>
              <w:ind w:firstLine="480" w:firstLineChars="200"/>
              <w:rPr>
                <w:rFonts w:hint="eastAsia" w:ascii="宋体" w:hAnsi="宋体" w:eastAsia="宋体" w:cs="宋体"/>
                <w:sz w:val="24"/>
                <w:szCs w:val="24"/>
              </w:rPr>
            </w:pPr>
            <w:r>
              <w:rPr>
                <w:rFonts w:hint="eastAsia" w:ascii="宋体" w:hAnsi="宋体" w:eastAsia="宋体" w:cs="宋体"/>
                <w:sz w:val="24"/>
                <w:szCs w:val="24"/>
              </w:rPr>
              <w:t>具有中华人民共和国国籍；</w:t>
            </w:r>
          </w:p>
          <w:p>
            <w:pPr>
              <w:numPr>
                <w:ilvl w:val="0"/>
                <w:numId w:val="9"/>
              </w:numPr>
              <w:bidi w:val="0"/>
              <w:ind w:firstLine="480" w:firstLineChars="200"/>
              <w:rPr>
                <w:rFonts w:hint="eastAsia" w:ascii="宋体" w:hAnsi="宋体" w:eastAsia="宋体" w:cs="宋体"/>
                <w:sz w:val="24"/>
                <w:szCs w:val="24"/>
              </w:rPr>
            </w:pPr>
            <w:r>
              <w:rPr>
                <w:rFonts w:hint="eastAsia" w:ascii="宋体" w:hAnsi="宋体" w:eastAsia="宋体" w:cs="宋体"/>
                <w:sz w:val="24"/>
                <w:szCs w:val="24"/>
              </w:rPr>
              <w:t>遂守宪法和法律</w:t>
            </w:r>
            <w:r>
              <w:rPr>
                <w:rFonts w:hint="eastAsia" w:ascii="宋体" w:hAnsi="宋体" w:eastAsia="宋体" w:cs="宋体"/>
                <w:sz w:val="24"/>
                <w:szCs w:val="24"/>
                <w:lang w:eastAsia="zh-CN"/>
              </w:rPr>
              <w:t>；</w:t>
            </w:r>
          </w:p>
          <w:p>
            <w:pPr>
              <w:numPr>
                <w:ilvl w:val="0"/>
                <w:numId w:val="9"/>
              </w:numPr>
              <w:bidi w:val="0"/>
              <w:ind w:firstLine="480" w:firstLineChars="200"/>
              <w:rPr>
                <w:rFonts w:hint="eastAsia" w:ascii="宋体" w:hAnsi="宋体" w:eastAsia="宋体" w:cs="宋体"/>
                <w:sz w:val="24"/>
                <w:szCs w:val="24"/>
              </w:rPr>
            </w:pPr>
            <w:r>
              <w:rPr>
                <w:rFonts w:hint="eastAsia" w:ascii="宋体" w:hAnsi="宋体" w:eastAsia="宋体" w:cs="宋体"/>
                <w:sz w:val="24"/>
                <w:szCs w:val="24"/>
              </w:rPr>
              <w:t>具有良好的品行；</w:t>
            </w:r>
          </w:p>
          <w:p>
            <w:pPr>
              <w:numPr>
                <w:ilvl w:val="0"/>
                <w:numId w:val="9"/>
              </w:numPr>
              <w:bidi w:val="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岗位所需的专业或技能条件</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numPr>
                <w:ilvl w:val="0"/>
                <w:numId w:val="9"/>
              </w:numPr>
              <w:bidi w:val="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适应岗位要求的身体条件； </w:t>
            </w:r>
          </w:p>
          <w:p>
            <w:pPr>
              <w:numPr>
                <w:ilvl w:val="0"/>
                <w:numId w:val="9"/>
              </w:numPr>
              <w:bidi w:val="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岗位所需要的其他</w:t>
            </w:r>
            <w:r>
              <w:rPr>
                <w:rFonts w:hint="eastAsia" w:ascii="宋体" w:hAnsi="宋体" w:eastAsia="宋体" w:cs="宋体"/>
                <w:sz w:val="24"/>
                <w:szCs w:val="24"/>
                <w:lang w:val="zh-CN" w:eastAsia="zh-CN"/>
              </w:rPr>
              <w:t>条件。</w:t>
            </w:r>
          </w:p>
          <w:p>
            <w:pPr>
              <w:numPr>
                <w:numId w:val="0"/>
              </w:numPr>
              <w:bidi w:val="0"/>
              <w:ind w:right="0" w:rightChars="0"/>
              <w:rPr>
                <w:rFonts w:hint="eastAsia" w:ascii="宋体" w:hAnsi="宋体" w:eastAsia="宋体" w:cs="宋体"/>
                <w:sz w:val="24"/>
                <w:szCs w:val="24"/>
              </w:rPr>
            </w:pPr>
          </w:p>
          <w:p>
            <w:pPr>
              <w:bidi w:val="0"/>
              <w:ind w:firstLine="480" w:firstLineChars="200"/>
              <w:rPr>
                <w:rFonts w:hint="eastAsia" w:ascii="宋体" w:hAnsi="宋体" w:eastAsia="宋体" w:cs="宋体"/>
                <w:sz w:val="24"/>
                <w:szCs w:val="24"/>
              </w:rPr>
            </w:pP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lang w:eastAsia="zh-CN"/>
              </w:rPr>
            </w:pPr>
            <w:r>
              <w:rPr>
                <w:rFonts w:hint="eastAsia" w:cs="宋体"/>
                <w:sz w:val="24"/>
                <w:szCs w:val="24"/>
                <w:lang w:eastAsia="zh-CN"/>
              </w:rPr>
              <w:t>中央组织部、人力资源社会保障部、国家公务员局等有关单位</w:t>
            </w:r>
          </w:p>
        </w:tc>
      </w:tr>
      <w:tr>
        <w:tblPrEx>
          <w:tblCellMar>
            <w:top w:w="0" w:type="dxa"/>
            <w:left w:w="10" w:type="dxa"/>
            <w:bottom w:w="0" w:type="dxa"/>
            <w:right w:w="10" w:type="dxa"/>
          </w:tblCellMar>
        </w:tblPrEx>
        <w:trPr>
          <w:trHeight w:val="168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（二十八）相关监管部门加强日常监督管理，提高检査频次</w:t>
            </w:r>
            <w:r>
              <w:rPr>
                <w:rFonts w:hint="eastAsia" w:cs="宋体"/>
                <w:sz w:val="24"/>
                <w:szCs w:val="24"/>
                <w:lang w:eastAsia="zh-CN"/>
              </w:rPr>
              <w:t>。</w:t>
            </w: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sz w:val="24"/>
                <w:szCs w:val="24"/>
              </w:rPr>
            </w:pPr>
            <w:r>
              <w:rPr>
                <w:rFonts w:hint="eastAsia" w:ascii="宋体" w:hAnsi="宋体" w:eastAsia="宋体" w:cs="宋体"/>
                <w:sz w:val="24"/>
                <w:szCs w:val="24"/>
              </w:rPr>
              <w:t>《国务院办公厅关于推广随机抽査规范事中事后监管的通知》（国办发</w:t>
            </w:r>
            <w:r>
              <w:rPr>
                <w:rFonts w:hint="eastAsia" w:ascii="宋体" w:hAnsi="宋体" w:eastAsia="宋体" w:cs="宋体"/>
                <w:sz w:val="24"/>
                <w:szCs w:val="24"/>
                <w:lang w:eastAsia="zh-CN"/>
              </w:rPr>
              <w:t>〔</w:t>
            </w:r>
            <w:r>
              <w:rPr>
                <w:rFonts w:hint="eastAsia" w:ascii="宋体" w:hAnsi="宋体" w:eastAsia="宋体" w:cs="宋体"/>
                <w:sz w:val="24"/>
                <w:szCs w:val="24"/>
              </w:rPr>
              <w:t>2015</w:t>
            </w:r>
            <w:r>
              <w:rPr>
                <w:rFonts w:hint="eastAsia" w:ascii="宋体" w:hAnsi="宋体" w:eastAsia="宋体" w:cs="宋体"/>
                <w:sz w:val="24"/>
                <w:szCs w:val="24"/>
                <w:lang w:eastAsia="zh-CN"/>
              </w:rPr>
              <w:t>〕</w:t>
            </w:r>
            <w:r>
              <w:rPr>
                <w:rFonts w:hint="eastAsia" w:ascii="宋体" w:hAnsi="宋体" w:eastAsia="宋体" w:cs="宋体"/>
                <w:sz w:val="24"/>
                <w:szCs w:val="24"/>
              </w:rPr>
              <w:t>58号）</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（三）合理确定随机抽査的比例和频次。要根据当地经济社会发展和监管领域实际情况，合理确定随机抽査的比例和频次，既要保证必要的抽查覆盖面和工作力度，</w:t>
            </w:r>
            <w:r>
              <w:rPr>
                <w:rFonts w:hint="eastAsia" w:ascii="宋体" w:hAnsi="宋体" w:eastAsia="宋体" w:cs="宋体"/>
                <w:sz w:val="24"/>
                <w:szCs w:val="24"/>
                <w:lang w:eastAsia="zh-CN"/>
              </w:rPr>
              <w:t>又</w:t>
            </w:r>
            <w:r>
              <w:rPr>
                <w:rFonts w:hint="eastAsia" w:ascii="宋体" w:hAnsi="宋体" w:eastAsia="宋体" w:cs="宋体"/>
                <w:sz w:val="24"/>
                <w:szCs w:val="24"/>
              </w:rPr>
              <w:t>要防止检査过多和执法扰民。对投诉举报多、列入经营异常名录或有严重违法违规记录等情况的市场主体，要加大随机抽查力度</w:t>
            </w:r>
            <w:r>
              <w:rPr>
                <w:rFonts w:hint="eastAsia" w:ascii="宋体" w:hAnsi="宋体" w:eastAsia="宋体" w:cs="宋体"/>
                <w:sz w:val="24"/>
                <w:szCs w:val="24"/>
                <w:lang w:eastAsia="zh-CN"/>
              </w:rPr>
              <w:t>。</w:t>
            </w: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4"/>
                <w:szCs w:val="24"/>
                <w:lang w:eastAsia="zh-CN"/>
              </w:rPr>
            </w:pPr>
            <w:r>
              <w:rPr>
                <w:rFonts w:hint="eastAsia" w:cs="宋体"/>
                <w:sz w:val="24"/>
                <w:szCs w:val="24"/>
                <w:lang w:eastAsia="zh-CN"/>
              </w:rPr>
              <w:t>各市场监管、行业主管部门</w:t>
            </w:r>
          </w:p>
        </w:tc>
      </w:tr>
      <w:tr>
        <w:tblPrEx>
          <w:tblCellMar>
            <w:top w:w="0" w:type="dxa"/>
            <w:left w:w="10" w:type="dxa"/>
            <w:bottom w:w="0" w:type="dxa"/>
            <w:right w:w="10" w:type="dxa"/>
          </w:tblCellMar>
        </w:tblPrEx>
        <w:trPr>
          <w:trHeight w:val="2259" w:hRule="exact"/>
          <w:jc w:val="center"/>
        </w:trPr>
        <w:tc>
          <w:tcPr>
            <w:tcW w:w="176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sz w:val="24"/>
                <w:szCs w:val="24"/>
              </w:rPr>
            </w:pPr>
            <w:r>
              <w:rPr>
                <w:rFonts w:hint="eastAsia" w:ascii="宋体" w:hAnsi="宋体" w:eastAsia="宋体" w:cs="宋体"/>
                <w:sz w:val="24"/>
                <w:szCs w:val="24"/>
              </w:rPr>
              <w:t>（二十九）对广播电台、电视台、报刊音像出版单位等媒体发布违法失信用人单位广告依法加强管理。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280" w:lineRule="exact"/>
              <w:ind w:left="0" w:right="0" w:firstLine="0"/>
              <w:jc w:val="left"/>
              <w:textAlignment w:val="auto"/>
              <w:rPr>
                <w:rFonts w:hint="eastAsia" w:ascii="宋体" w:hAnsi="宋体" w:eastAsia="宋体" w:cs="宋体"/>
                <w:sz w:val="24"/>
                <w:szCs w:val="24"/>
              </w:rPr>
            </w:pPr>
          </w:p>
        </w:tc>
        <w:tc>
          <w:tcPr>
            <w:tcW w:w="10269"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sz w:val="24"/>
                <w:szCs w:val="24"/>
              </w:rPr>
            </w:pPr>
            <w:r>
              <w:rPr>
                <w:rFonts w:hint="eastAsia" w:ascii="宋体" w:hAnsi="宋体" w:eastAsia="宋体" w:cs="宋体"/>
                <w:sz w:val="24"/>
                <w:szCs w:val="24"/>
              </w:rPr>
              <w:t>《中华人民共和国广告法》</w:t>
            </w:r>
            <w:r>
              <w:rPr>
                <w:rFonts w:hint="eastAsia" w:ascii="宋体" w:hAnsi="宋体" w:eastAsia="宋体" w:cs="宋体"/>
                <w:sz w:val="24"/>
                <w:szCs w:val="24"/>
              </w:rPr>
              <w:tab/>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第五条 广告主、广告经营者、广告发布者从事广告活动，应当遵守法律、法规，诚实信用，公平竞争。</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p>
        </w:tc>
        <w:tc>
          <w:tcPr>
            <w:tcW w:w="1464" w:type="dxa"/>
            <w:tcBorders>
              <w:top w:val="single" w:color="auto" w:sz="4" w:space="0"/>
              <w:left w:val="single" w:color="auto" w:sz="4" w:space="0"/>
              <w:bottom w:val="single" w:color="auto" w:sz="4" w:space="0"/>
              <w:right w:val="single" w:color="auto" w:sz="4" w:space="0"/>
            </w:tcBorders>
            <w:shd w:val="clear" w:color="auto" w:fill="FFFFFF"/>
            <w:vAlign w:val="center"/>
          </w:tcPr>
          <w:p>
            <w:pPr>
              <w:bidi w:val="0"/>
              <w:rPr>
                <w:rFonts w:hint="eastAsia" w:cs="宋体"/>
                <w:sz w:val="24"/>
                <w:szCs w:val="24"/>
                <w:lang w:eastAsia="zh-CN"/>
              </w:rPr>
            </w:pPr>
            <w:r>
              <w:rPr>
                <w:rFonts w:hint="eastAsia" w:ascii="宋体" w:hAnsi="宋体" w:eastAsia="宋体" w:cs="宋体"/>
                <w:sz w:val="24"/>
                <w:szCs w:val="24"/>
              </w:rPr>
              <w:t>新闻出版广电总局、工商总局按职责分工负责</w:t>
            </w:r>
          </w:p>
        </w:tc>
      </w:tr>
    </w:tbl>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eastAsia="zh-CN"/>
        </w:rPr>
      </w:pPr>
    </w:p>
    <w:sectPr>
      <w:pgSz w:w="16838" w:h="11906" w:orient="landscape"/>
      <w:pgMar w:top="1247" w:right="1417" w:bottom="124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-104140</wp:posOffset>
              </wp:positionV>
              <wp:extent cx="434340" cy="2419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4193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pt;height:19.05pt;width:34.2pt;mso-position-horizontal:center;mso-position-horizontal-relative:margin;z-index:251658240;mso-width-relative:page;mso-height-relative:page;" filled="f" stroked="f" coordsize="21600,21600" o:gfxdata="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FZ5rSraAAAACgEAAA8AAAAAAAAAAQAgAAAAIgAAAGRycy9kb3du&#10;cmV2LnhtbFBLAQIUABQAAAAIAIdO4kBYz4WU4QIAACQGAAAOAAAAAAAAAAEAIAAAACkBAABkcnMv&#10;ZTJvRG9jLnhtbFBLBQYAAAAABgAGAFkBAAB8BgAAA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EDFF4"/>
    <w:multiLevelType w:val="singleLevel"/>
    <w:tmpl w:val="94BEDFF4"/>
    <w:lvl w:ilvl="0" w:tentative="0">
      <w:start w:val="9"/>
      <w:numFmt w:val="chineseCounting"/>
      <w:suff w:val="space"/>
      <w:lvlText w:val="第%1条"/>
      <w:lvlJc w:val="left"/>
      <w:rPr>
        <w:rFonts w:hint="eastAsia"/>
      </w:rPr>
    </w:lvl>
  </w:abstractNum>
  <w:abstractNum w:abstractNumId="1">
    <w:nsid w:val="0229EF9F"/>
    <w:multiLevelType w:val="singleLevel"/>
    <w:tmpl w:val="0229EF9F"/>
    <w:lvl w:ilvl="0" w:tentative="0">
      <w:start w:val="3"/>
      <w:numFmt w:val="chineseCounting"/>
      <w:suff w:val="nothing"/>
      <w:lvlText w:val="（%1）"/>
      <w:lvlJc w:val="left"/>
      <w:rPr>
        <w:rFonts w:hint="eastAsia"/>
      </w:rPr>
    </w:lvl>
  </w:abstractNum>
  <w:abstractNum w:abstractNumId="2">
    <w:nsid w:val="05FE9AEA"/>
    <w:multiLevelType w:val="singleLevel"/>
    <w:tmpl w:val="05FE9AEA"/>
    <w:lvl w:ilvl="0" w:tentative="0">
      <w:start w:val="5"/>
      <w:numFmt w:val="chineseCounting"/>
      <w:suff w:val="space"/>
      <w:lvlText w:val="第%1条"/>
      <w:lvlJc w:val="left"/>
      <w:rPr>
        <w:rFonts w:hint="eastAsia"/>
      </w:rPr>
    </w:lvl>
  </w:abstractNum>
  <w:abstractNum w:abstractNumId="3">
    <w:nsid w:val="20D3E06B"/>
    <w:multiLevelType w:val="singleLevel"/>
    <w:tmpl w:val="20D3E06B"/>
    <w:lvl w:ilvl="0" w:tentative="0">
      <w:start w:val="3"/>
      <w:numFmt w:val="chineseCounting"/>
      <w:suff w:val="nothing"/>
      <w:lvlText w:val="%1、"/>
      <w:lvlJc w:val="left"/>
      <w:rPr>
        <w:rFonts w:hint="eastAsia"/>
      </w:rPr>
    </w:lvl>
  </w:abstractNum>
  <w:abstractNum w:abstractNumId="4">
    <w:nsid w:val="39C58EC8"/>
    <w:multiLevelType w:val="singleLevel"/>
    <w:tmpl w:val="39C58EC8"/>
    <w:lvl w:ilvl="0" w:tentative="0">
      <w:start w:val="1"/>
      <w:numFmt w:val="decimal"/>
      <w:suff w:val="nothing"/>
      <w:lvlText w:val="（%1）"/>
      <w:lvlJc w:val="left"/>
    </w:lvl>
  </w:abstractNum>
  <w:abstractNum w:abstractNumId="5">
    <w:nsid w:val="52082647"/>
    <w:multiLevelType w:val="singleLevel"/>
    <w:tmpl w:val="52082647"/>
    <w:lvl w:ilvl="0" w:tentative="0">
      <w:start w:val="2"/>
      <w:numFmt w:val="chineseCounting"/>
      <w:suff w:val="nothing"/>
      <w:lvlText w:val="（%1）"/>
      <w:lvlJc w:val="left"/>
      <w:rPr>
        <w:rFonts w:hint="eastAsia"/>
      </w:rPr>
    </w:lvl>
  </w:abstractNum>
  <w:abstractNum w:abstractNumId="6">
    <w:nsid w:val="56E7FEAD"/>
    <w:multiLevelType w:val="singleLevel"/>
    <w:tmpl w:val="56E7FEAD"/>
    <w:lvl w:ilvl="0" w:tentative="0">
      <w:start w:val="13"/>
      <w:numFmt w:val="chineseCounting"/>
      <w:suff w:val="space"/>
      <w:lvlText w:val="第%1条"/>
      <w:lvlJc w:val="left"/>
      <w:rPr>
        <w:rFonts w:hint="eastAsia"/>
      </w:rPr>
    </w:lvl>
  </w:abstractNum>
  <w:abstractNum w:abstractNumId="7">
    <w:nsid w:val="6DD5D8EF"/>
    <w:multiLevelType w:val="singleLevel"/>
    <w:tmpl w:val="6DD5D8EF"/>
    <w:lvl w:ilvl="0" w:tentative="0">
      <w:start w:val="1"/>
      <w:numFmt w:val="chineseCounting"/>
      <w:suff w:val="nothing"/>
      <w:lvlText w:val="（%1）"/>
      <w:lvlJc w:val="left"/>
      <w:rPr>
        <w:rFonts w:hint="eastAsia"/>
      </w:rPr>
    </w:lvl>
  </w:abstractNum>
  <w:abstractNum w:abstractNumId="8">
    <w:nsid w:val="7E0F0A17"/>
    <w:multiLevelType w:val="singleLevel"/>
    <w:tmpl w:val="7E0F0A17"/>
    <w:lvl w:ilvl="0" w:tentative="0">
      <w:start w:val="6"/>
      <w:numFmt w:val="chineseCounting"/>
      <w:suff w:val="space"/>
      <w:lvlText w:val="第%1条"/>
      <w:lvlJc w:val="left"/>
      <w:rPr>
        <w:rFonts w:hint="eastAsia"/>
      </w:rPr>
    </w:lvl>
  </w:abstractNum>
  <w:num w:numId="1">
    <w:abstractNumId w:val="3"/>
  </w:num>
  <w:num w:numId="2">
    <w:abstractNumId w:val="1"/>
  </w:num>
  <w:num w:numId="3">
    <w:abstractNumId w:val="5"/>
  </w:num>
  <w:num w:numId="4">
    <w:abstractNumId w:val="6"/>
  </w:num>
  <w:num w:numId="5">
    <w:abstractNumId w:val="8"/>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B2C8C"/>
    <w:rsid w:val="0C6361C6"/>
    <w:rsid w:val="0CDC2E0E"/>
    <w:rsid w:val="11041F60"/>
    <w:rsid w:val="11124279"/>
    <w:rsid w:val="30C8775A"/>
    <w:rsid w:val="31841B93"/>
    <w:rsid w:val="33B8470D"/>
    <w:rsid w:val="38D343BC"/>
    <w:rsid w:val="462E3CA5"/>
    <w:rsid w:val="52BC04C3"/>
    <w:rsid w:val="545527D8"/>
    <w:rsid w:val="58CB6E95"/>
    <w:rsid w:val="61ED7740"/>
    <w:rsid w:val="638C162C"/>
    <w:rsid w:val="6A275E4F"/>
    <w:rsid w:val="6BE71437"/>
    <w:rsid w:val="708F6639"/>
    <w:rsid w:val="74A2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7">
    <w:name w:val="Body text|2"/>
    <w:basedOn w:val="1"/>
    <w:qFormat/>
    <w:uiPriority w:val="0"/>
    <w:pPr>
      <w:widowControl w:val="0"/>
      <w:shd w:val="clear" w:color="auto" w:fill="auto"/>
      <w:spacing w:after="570" w:line="336" w:lineRule="auto"/>
    </w:pPr>
    <w:rPr>
      <w:rFonts w:ascii="宋体" w:hAnsi="宋体" w:eastAsia="宋体" w:cs="宋体"/>
      <w:sz w:val="76"/>
      <w:szCs w:val="76"/>
      <w:u w:val="none"/>
      <w:shd w:val="clear" w:color="auto" w:fill="auto"/>
      <w:lang w:val="zh-TW" w:eastAsia="zh-TW" w:bidi="zh-TW"/>
    </w:rPr>
  </w:style>
  <w:style w:type="paragraph" w:customStyle="1" w:styleId="8">
    <w:name w:val="Body text|4"/>
    <w:basedOn w:val="1"/>
    <w:qFormat/>
    <w:uiPriority w:val="0"/>
    <w:pPr>
      <w:widowControl w:val="0"/>
      <w:shd w:val="clear" w:color="auto" w:fill="auto"/>
    </w:pPr>
    <w:rPr>
      <w:b/>
      <w:bCs/>
      <w:sz w:val="32"/>
      <w:szCs w:val="32"/>
      <w:u w:val="none"/>
      <w:shd w:val="clear" w:color="auto" w:fill="FFFFFF"/>
    </w:rPr>
  </w:style>
  <w:style w:type="paragraph" w:customStyle="1" w:styleId="9">
    <w:name w:val="Body text|6"/>
    <w:basedOn w:val="1"/>
    <w:qFormat/>
    <w:uiPriority w:val="0"/>
    <w:pPr>
      <w:widowControl w:val="0"/>
      <w:shd w:val="clear" w:color="auto" w:fill="auto"/>
    </w:pPr>
    <w:rPr>
      <w:b/>
      <w:bCs/>
      <w:sz w:val="26"/>
      <w:szCs w:val="26"/>
      <w:u w:val="none"/>
      <w:shd w:val="clear" w:color="auto" w:fill="FFFFFF"/>
    </w:rPr>
  </w:style>
  <w:style w:type="paragraph" w:customStyle="1" w:styleId="10">
    <w:name w:val="Body text|1"/>
    <w:basedOn w:val="1"/>
    <w:qFormat/>
    <w:uiPriority w:val="0"/>
    <w:pPr>
      <w:widowControl w:val="0"/>
      <w:shd w:val="clear" w:color="auto" w:fill="auto"/>
      <w:spacing w:line="331" w:lineRule="auto"/>
    </w:pPr>
    <w:rPr>
      <w:rFonts w:ascii="宋体" w:hAnsi="宋体" w:eastAsia="宋体" w:cs="宋体"/>
      <w:sz w:val="62"/>
      <w:szCs w:val="62"/>
      <w:u w:val="none"/>
      <w:shd w:val="clear" w:color="auto" w:fill="auto"/>
      <w:lang w:val="zh-TW" w:eastAsia="zh-TW" w:bidi="zh-TW"/>
    </w:rPr>
  </w:style>
  <w:style w:type="paragraph" w:customStyle="1" w:styleId="11">
    <w:name w:val="Other|1"/>
    <w:basedOn w:val="1"/>
    <w:qFormat/>
    <w:uiPriority w:val="0"/>
    <w:pPr>
      <w:widowControl w:val="0"/>
      <w:shd w:val="clear" w:color="auto" w:fill="auto"/>
      <w:spacing w:after="600"/>
    </w:pPr>
    <w:rPr>
      <w:rFonts w:ascii="宋体" w:hAnsi="宋体" w:eastAsia="宋体" w:cs="宋体"/>
      <w:sz w:val="76"/>
      <w:szCs w:val="76"/>
      <w:u w:val="none"/>
      <w:shd w:val="clear" w:color="auto" w:fill="auto"/>
      <w:lang w:val="zh-TW" w:eastAsia="zh-TW" w:bidi="zh-TW"/>
    </w:rPr>
  </w:style>
  <w:style w:type="paragraph" w:customStyle="1" w:styleId="12">
    <w:name w:val="Header or footer|1"/>
    <w:basedOn w:val="1"/>
    <w:qFormat/>
    <w:uiPriority w:val="0"/>
    <w:pPr>
      <w:widowControl w:val="0"/>
      <w:shd w:val="clear" w:color="auto" w:fill="auto"/>
      <w:ind w:left="-20"/>
      <w:jc w:val="center"/>
    </w:pPr>
    <w:rPr>
      <w:sz w:val="68"/>
      <w:szCs w:val="68"/>
      <w:u w:val="none"/>
      <w:shd w:val="clear" w:color="auto" w:fill="auto"/>
      <w:lang w:val="zh-TW" w:eastAsia="zh-TW" w:bidi="zh-TW"/>
    </w:rPr>
  </w:style>
  <w:style w:type="paragraph" w:customStyle="1" w:styleId="13">
    <w:name w:val="Body text|5"/>
    <w:basedOn w:val="1"/>
    <w:qFormat/>
    <w:uiPriority w:val="0"/>
    <w:pPr>
      <w:widowControl w:val="0"/>
      <w:shd w:val="clear" w:color="auto" w:fill="auto"/>
    </w:pPr>
    <w:rPr>
      <w:b/>
      <w:bCs/>
      <w:color w:val="CFD4E2"/>
      <w:sz w:val="46"/>
      <w:szCs w:val="46"/>
      <w:u w:val="none"/>
      <w:shd w:val="clear" w:color="auto" w:fill="auto"/>
    </w:rPr>
  </w:style>
  <w:style w:type="paragraph" w:customStyle="1" w:styleId="14">
    <w:name w:val="Picture caption|1"/>
    <w:basedOn w:val="1"/>
    <w:qFormat/>
    <w:uiPriority w:val="0"/>
    <w:pPr>
      <w:widowControl w:val="0"/>
      <w:shd w:val="clear" w:color="auto" w:fill="auto"/>
    </w:pPr>
    <w:rPr>
      <w:rFonts w:ascii="宋体" w:hAnsi="宋体" w:eastAsia="宋体" w:cs="宋体"/>
      <w:sz w:val="56"/>
      <w:szCs w:val="56"/>
      <w:u w:val="none"/>
      <w:shd w:val="clear" w:color="auto" w:fill="auto"/>
      <w:lang w:val="zh-TW" w:eastAsia="zh-TW" w:bidi="zh-TW"/>
    </w:rPr>
  </w:style>
  <w:style w:type="paragraph" w:customStyle="1" w:styleId="15">
    <w:name w:val="Body text|7"/>
    <w:basedOn w:val="1"/>
    <w:qFormat/>
    <w:uiPriority w:val="0"/>
    <w:pPr>
      <w:widowControl w:val="0"/>
      <w:shd w:val="clear" w:color="auto" w:fill="auto"/>
    </w:pPr>
    <w:rPr>
      <w:rFonts w:ascii="宋体" w:hAnsi="宋体" w:eastAsia="宋体" w:cs="宋体"/>
      <w:sz w:val="26"/>
      <w:szCs w:val="26"/>
      <w:u w:val="none"/>
      <w:shd w:val="clear" w:color="auto" w:fill="FFFFFF"/>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2020-10-10T00:46:00Z</dcterms:created>
  <dc:creator>Administrator</dc:creator>
  <cp:lastModifiedBy> 丽  小木  </cp:lastModifiedBy>
  <dcterms:modified xsi:type="dcterms:W3CDTF">2020-10-23T07:27:29Z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