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1"/>
        <w:ind w:left="139" w:right="209" w:firstLine="0"/>
        <w:jc w:val="both"/>
        <w:rPr>
          <w:rFonts w:hint="eastAsia" w:ascii="仿宋" w:hAnsi="仿宋" w:eastAsia="仿宋" w:cs="仿宋"/>
          <w:color w:val="232323"/>
          <w:sz w:val="32"/>
          <w:szCs w:val="32"/>
          <w:lang w:eastAsia="zh-CN"/>
        </w:rPr>
      </w:pPr>
      <w:r>
        <w:rPr>
          <w:rFonts w:hint="eastAsia" w:ascii="仿宋" w:hAnsi="仿宋" w:eastAsia="仿宋" w:cs="仿宋"/>
          <w:color w:val="232323"/>
          <w:sz w:val="32"/>
          <w:szCs w:val="32"/>
          <w:lang w:eastAsia="zh-CN"/>
        </w:rPr>
        <w:t>附件：</w:t>
      </w:r>
    </w:p>
    <w:p>
      <w:pPr>
        <w:pStyle w:val="2"/>
        <w:spacing w:before="11"/>
        <w:ind w:left="139" w:right="209" w:firstLine="0"/>
        <w:jc w:val="both"/>
        <w:rPr>
          <w:rFonts w:hint="eastAsia" w:ascii="仿宋" w:hAnsi="仿宋" w:eastAsia="仿宋" w:cs="仿宋"/>
          <w:color w:val="232323"/>
          <w:sz w:val="32"/>
          <w:szCs w:val="32"/>
          <w:lang w:eastAsia="zh-CN"/>
        </w:rPr>
      </w:pPr>
    </w:p>
    <w:p>
      <w:pPr>
        <w:spacing w:before="181"/>
        <w:ind w:left="139" w:right="210" w:firstLine="0"/>
        <w:jc w:val="center"/>
        <w:rPr>
          <w:rFonts w:hint="eastAsia" w:ascii="方正小标宋简体" w:hAnsi="方正小标宋简体" w:eastAsia="方正小标宋简体" w:cs="方正小标宋简体"/>
          <w:b w:val="0"/>
          <w:bCs w:val="0"/>
          <w:color w:val="232323"/>
          <w:sz w:val="44"/>
          <w:szCs w:val="44"/>
        </w:rPr>
      </w:pPr>
      <w:r>
        <w:rPr>
          <w:rFonts w:hint="eastAsia" w:ascii="方正小标宋简体" w:hAnsi="方正小标宋简体" w:eastAsia="方正小标宋简体" w:cs="方正小标宋简体"/>
          <w:b w:val="0"/>
          <w:bCs w:val="0"/>
          <w:color w:val="232323"/>
          <w:sz w:val="44"/>
          <w:szCs w:val="44"/>
        </w:rPr>
        <w:t>关于人民法院与银行业金融机构开展</w:t>
      </w:r>
    </w:p>
    <w:p>
      <w:pPr>
        <w:spacing w:before="181"/>
        <w:ind w:left="139" w:right="210" w:firstLine="0"/>
        <w:jc w:val="center"/>
        <w:rPr>
          <w:b/>
          <w:sz w:val="24"/>
        </w:rPr>
      </w:pPr>
      <w:r>
        <w:rPr>
          <w:rFonts w:hint="eastAsia" w:ascii="方正小标宋简体" w:hAnsi="方正小标宋简体" w:eastAsia="方正小标宋简体" w:cs="方正小标宋简体"/>
          <w:b w:val="0"/>
          <w:bCs w:val="0"/>
          <w:color w:val="232323"/>
          <w:sz w:val="44"/>
          <w:szCs w:val="44"/>
        </w:rPr>
        <w:t>网络执行查控和联合信用惩戒工作的意见</w:t>
      </w:r>
    </w:p>
    <w:p>
      <w:pPr>
        <w:pStyle w:val="2"/>
        <w:spacing w:line="338" w:lineRule="auto"/>
        <w:ind w:right="263" w:firstLine="0"/>
        <w:jc w:val="both"/>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为维护司法权威，防范金融风险，保障当事人合法权益，推动社会信用体系建设，根据《中华人民共和国民事诉讼法》《中华人民共和国商业银行法》及《关于建立和完善执行联动机制若干问题的意见》等规定，结合工作实际，最高人民法院和中国银行业监督管理委员会就人民法院和银行业金融机构开展网络执行查控和联合信用惩戒工作，提出如下意见：</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一、最高人民法院、中国银行业监督管理委员会鼓励和支持各级人民法院与银行业金融机构通过网络信息化方式，开展执行与协助执行、联合对失信被执行人进行信用惩戒等工作。</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二、最高人民法院、中国银行业监督管理委员会鼓励和支持银行业金融机构与人民法院建立网络执行查控机制，通过网络查询被执行人存款和其他金融资产信息，办理其他协助事项。</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color w:val="232323"/>
          <w:spacing w:val="0"/>
          <w:sz w:val="32"/>
          <w:szCs w:val="32"/>
        </w:rPr>
      </w:pPr>
      <w:r>
        <w:rPr>
          <w:rFonts w:hint="eastAsia" w:ascii="仿宋" w:hAnsi="仿宋" w:eastAsia="仿宋" w:cs="仿宋"/>
          <w:color w:val="232323"/>
          <w:spacing w:val="0"/>
          <w:sz w:val="32"/>
          <w:szCs w:val="32"/>
        </w:rPr>
        <w:t>银行业金融机构应当推进电子信息化建设，协助人民法院建立网络执行查控机制。</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三、中国银行业监督管理委员会督促指导各银行业金融机构确定专门机构和人员负责网络执行查控工作，</w:t>
      </w:r>
      <w:bookmarkStart w:id="0" w:name="_GoBack"/>
      <w:bookmarkEnd w:id="0"/>
      <w:r>
        <w:rPr>
          <w:rFonts w:hint="eastAsia" w:ascii="仿宋" w:hAnsi="仿宋" w:eastAsia="仿宋" w:cs="仿宋"/>
          <w:color w:val="232323"/>
          <w:spacing w:val="0"/>
          <w:sz w:val="32"/>
          <w:szCs w:val="32"/>
        </w:rPr>
        <w:t>及时准确反馈办理结果；鼓励和支持开发批量自动查控功能，实现查询数据的准确和高效。</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四、中国银行业监督管理委员会鼓励和支持人民法院与银行业金融机构在完备法律手续、保证资金安全的情况下，逐步通过网络实施查询、冻结、扣划等执行措施。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银行业金融机构尚未与人民法院建立网络执行查控机制，或者协助事项不能通过网络办理的，应当根据法律、司法解释和有关规定，协助人民法院现场办理。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五、中国银行业监督管理委员会鼓励和支持银行业金融机构与人民法院以全国法院执行案件信息系统为基础，建立全国网络执行查控机制。</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全国网络执行查控机制建设主要采取两种模式。一是“总对总”联网，即最高人民法院通过中国银行业监督管理委员会金融专网通道与各银行业金融机构总行网络对接。各级人民法院通过最高人民法院网络执行查控系统实施查控。二是“点对点”联网，即高级人民法院通过当地银监局金融专网通道与各银行业金融机构省级分行网络对接。本地人民法院通过高级人民法院执行查控系统实施本地查控，外地法院通过最高人民法院网络中转接入当地高级人民法院执行查控系统实施查控。</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color w:val="232323"/>
          <w:spacing w:val="0"/>
          <w:sz w:val="32"/>
          <w:szCs w:val="32"/>
        </w:rPr>
      </w:pPr>
      <w:r>
        <w:rPr>
          <w:rFonts w:hint="eastAsia" w:ascii="仿宋" w:hAnsi="仿宋" w:eastAsia="仿宋" w:cs="仿宋"/>
          <w:color w:val="232323"/>
          <w:spacing w:val="0"/>
          <w:sz w:val="32"/>
          <w:szCs w:val="32"/>
        </w:rPr>
        <w:t>各级人民法院与银行业金融机构及其分支机构已协议通过专线或其他网络建立网络查控机制的，可继续按原有模式建设和运行。本意见下发后，采用第二款以外模式建设的，应当经最高人民法院和中国银行业监督管理委员会同意。</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六、人民法院与银行业金融机构建立了网络执行查控机制的，通过网络执行查控系统对被执行人存款或其他金融资产采取查控措施，按照《最高人民法院关于网络查询、冻结被执行人存款的规定》（法释〔2013〕20 号）执行。</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七、各级法院应当加强管理，确保依照法律、法规、司法解释以及金融监管规定，查询和使用被执行人银行账户等信息，确保有关人员严格遵守保密规定。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八、最高人民法院、中国银行业监督管理委员会鼓励和支持银行业金融机构与人民法院建立联合信用惩戒机制。银行业金融机构与人民法院通过网络传输等方式，共享失信被执行人名单及其他执行案件信息；银行业金融机构依照法律、法规规定，在融资信贷等金融服务领域，对失信被执行人等采取限制贷款、限制办理信用卡等措施。</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九、上级法院和银行业监管机构应当加强对网络执行查控机制和联合信用惩戒机制建设的监督指导，协调处理两个机制建设和运行中产生的分歧和争议。</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建立了合作关系的人民法院、银行业金融机构应当安排专人协调处理两个机制运行中发生的争议。协调无果的，可通过上级法院、银行业监管机构协调解决。</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建立了合作关系的人民法院、银行业金融机构应当制定应急预案，配备专门的技术人员处理两个机制运行中的突发事件，保障系统安全。</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十、银行业金融机构依法协助人民法院办理网络执行查控措施，当事人或者利害关系人有异议的，银行业金融机构应当告知其根据民事诉讼法第二百二十五条之规定向执行法院提出，但银行业金融机构未按照协助执行通知书办理的除外。</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十一、人民法院与银行业金融机构关于协助执行的有关规范性文件与本意见不一致的，以本意见为准。</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right"/>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最高人民法院  中国银行业监督管理委员会</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right"/>
        <w:textAlignment w:val="auto"/>
        <w:rPr>
          <w:rFonts w:hint="eastAsia" w:ascii="仿宋" w:hAnsi="仿宋" w:eastAsia="仿宋" w:cs="仿宋"/>
          <w:spacing w:val="0"/>
          <w:sz w:val="32"/>
          <w:szCs w:val="32"/>
        </w:rPr>
      </w:pPr>
      <w:r>
        <w:rPr>
          <w:rFonts w:hint="eastAsia" w:ascii="仿宋" w:hAnsi="仿宋" w:eastAsia="仿宋" w:cs="仿宋"/>
          <w:color w:val="232323"/>
          <w:spacing w:val="0"/>
          <w:sz w:val="32"/>
          <w:szCs w:val="32"/>
        </w:rPr>
        <w:t>2014 年 10 月 24 日</w:t>
      </w:r>
    </w:p>
    <w:sectPr>
      <w:footerReference r:id="rId3" w:type="default"/>
      <w:pgSz w:w="11910" w:h="16840"/>
      <w:pgMar w:top="1871" w:right="1417" w:bottom="1871" w:left="1417" w:header="720" w:footer="720" w:gutter="0"/>
      <w:pgNumType w:fmt="numberInDash"/>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posOffset>2761615</wp:posOffset>
              </wp:positionH>
              <wp:positionV relativeFrom="paragraph">
                <wp:posOffset>-161290</wp:posOffset>
              </wp:positionV>
              <wp:extent cx="372745" cy="363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372745" cy="3638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17.45pt;margin-top:-12.7pt;height:28.65pt;width:29.35pt;mso-position-horizontal-relative:margin;z-index:251658240;mso-width-relative:page;mso-height-relative:page;" filled="f" stroked="f" coordsize="21600,21600" o:gfxdata="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">
              <v:fill on="f" focussize="0,0"/>
              <v:stroke on="f" weight="0.5pt"/>
              <v:imagedata o:title=""/>
              <o:lock v:ext="edit" aspectratio="f"/>
              <v:textbox inset="0mm,0mm,0mm,0mm">
                <w:txbxContent>
                  <w:p>
                    <w:pPr>
                      <w:pStyle w:val="3"/>
                      <w:rPr>
                        <w:rFonts w:hint="eastAsia" w:eastAsia="微软雅黑"/>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8F27F5"/>
    <w:rsid w:val="550525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微软雅黑" w:hAnsi="微软雅黑" w:eastAsia="微软雅黑" w:cs="微软雅黑"/>
      <w:sz w:val="22"/>
      <w:szCs w:val="2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20" w:right="127" w:firstLine="619"/>
    </w:pPr>
    <w:rPr>
      <w:rFonts w:ascii="微软雅黑" w:hAnsi="微软雅黑" w:eastAsia="微软雅黑" w:cs="微软雅黑"/>
      <w:sz w:val="24"/>
      <w:szCs w:val="24"/>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2020-05-22T06:24:00Z</dcterms:created>
  <dc:creator>MrOcean</dc:creator>
  <cp:lastModifiedBy> 丽  小木  </cp:lastModifiedBy>
  <dcterms:modified xsi:type="dcterms:W3CDTF">2020-11-09T01:43:09Z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2013</vt:lpwstr>
  </property>
  <property fmtid="{D5CDD505-2E9C-101B-9397-08002B2CF9AE}" pid="4" name="LastSaved">
    <vt:filetime>2020-05-22T00:00:00Z</vt:filetime>
  </property>
  <property fmtid="{D5CDD505-2E9C-101B-9397-08002B2CF9AE}" pid="5" name="KSOProductBuildVer">
    <vt:lpwstr>2052-11.1.0.10072</vt:lpwstr>
  </property>
</Properties>
</file>