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jc w:val="both"/>
        <w:textAlignment w:val="auto"/>
        <w:outlineLvl w:val="9"/>
        <w:rPr>
          <w:rFonts w:hint="eastAsia" w:eastAsia="仿宋"/>
          <w:color w:val="000000"/>
          <w:spacing w:val="0"/>
          <w:w w:val="100"/>
          <w:position w:val="0"/>
          <w:sz w:val="32"/>
          <w:szCs w:val="80"/>
          <w:lang w:eastAsia="zh-CN"/>
        </w:rPr>
      </w:pPr>
      <w:r>
        <w:rPr>
          <w:rFonts w:eastAsia="仿宋"/>
          <w:color w:val="000000"/>
          <w:spacing w:val="0"/>
          <w:w w:val="100"/>
          <w:position w:val="0"/>
          <w:sz w:val="32"/>
          <w:szCs w:val="80"/>
        </w:rPr>
        <w:t>附件</w:t>
      </w:r>
      <w:r>
        <w:rPr>
          <w:rFonts w:hint="eastAsia" w:eastAsia="仿宋"/>
          <w:color w:val="000000"/>
          <w:spacing w:val="0"/>
          <w:w w:val="100"/>
          <w:position w:val="0"/>
          <w:sz w:val="32"/>
          <w:szCs w:val="80"/>
          <w:lang w:eastAsia="zh-CN"/>
        </w:rPr>
        <w:t>：</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right="0"/>
        <w:jc w:val="both"/>
        <w:textAlignment w:val="auto"/>
        <w:outlineLvl w:val="9"/>
        <w:rPr>
          <w:rFonts w:hint="eastAsia" w:eastAsia="仿宋"/>
          <w:color w:val="000000"/>
          <w:spacing w:val="0"/>
          <w:w w:val="100"/>
          <w:position w:val="0"/>
          <w:sz w:val="32"/>
          <w:szCs w:val="80"/>
          <w:lang w:eastAsia="zh-CN"/>
        </w:rPr>
      </w:pPr>
    </w:p>
    <w:p>
      <w:pPr>
        <w:pStyle w:val="16"/>
        <w:keepNext/>
        <w:keepLines/>
        <w:pageBreakBefore w:val="0"/>
        <w:widowControl w:val="0"/>
        <w:shd w:val="clear" w:color="auto" w:fill="auto"/>
        <w:kinsoku/>
        <w:wordWrap/>
        <w:overflowPunct/>
        <w:topLinePunct w:val="0"/>
        <w:autoSpaceDE/>
        <w:autoSpaceDN/>
        <w:bidi w:val="0"/>
        <w:adjustRightInd/>
        <w:snapToGrid/>
        <w:spacing w:before="0" w:after="0" w:line="600" w:lineRule="exact"/>
        <w:ind w:right="0"/>
        <w:jc w:val="center"/>
        <w:textAlignment w:val="auto"/>
        <w:outlineLvl w:val="9"/>
        <w:rPr>
          <w:rFonts w:hint="eastAsia" w:ascii="方正小标宋简体" w:hAnsi="方正小标宋简体" w:eastAsia="方正小标宋简体" w:cs="方正小标宋简体"/>
          <w:color w:val="000000"/>
          <w:spacing w:val="0"/>
          <w:w w:val="100"/>
          <w:position w:val="0"/>
          <w:sz w:val="44"/>
          <w:szCs w:val="44"/>
        </w:rPr>
      </w:pPr>
      <w:bookmarkStart w:id="0" w:name="bookmark5"/>
      <w:bookmarkStart w:id="1" w:name="bookmark3"/>
      <w:bookmarkStart w:id="2" w:name="bookmark4"/>
      <w:r>
        <w:rPr>
          <w:rFonts w:hint="eastAsia" w:ascii="方正小标宋简体" w:hAnsi="方正小标宋简体" w:eastAsia="方正小标宋简体" w:cs="方正小标宋简体"/>
          <w:color w:val="000000"/>
          <w:spacing w:val="0"/>
          <w:w w:val="100"/>
          <w:position w:val="0"/>
          <w:sz w:val="44"/>
          <w:szCs w:val="44"/>
        </w:rPr>
        <w:t>关于对运输物流行业严重违法失信市场</w:t>
      </w:r>
    </w:p>
    <w:p>
      <w:pPr>
        <w:pStyle w:val="16"/>
        <w:keepNext/>
        <w:keepLines/>
        <w:pageBreakBefore w:val="0"/>
        <w:widowControl w:val="0"/>
        <w:shd w:val="clear" w:color="auto" w:fill="auto"/>
        <w:kinsoku/>
        <w:wordWrap/>
        <w:overflowPunct/>
        <w:topLinePunct w:val="0"/>
        <w:autoSpaceDE/>
        <w:autoSpaceDN/>
        <w:bidi w:val="0"/>
        <w:adjustRightInd/>
        <w:snapToGrid/>
        <w:spacing w:before="0" w:after="0" w:line="600" w:lineRule="exact"/>
        <w:ind w:right="0"/>
        <w:jc w:val="center"/>
        <w:textAlignment w:val="auto"/>
        <w:outlineLvl w:val="9"/>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主体及其有关人员实施联合惩戒的合作备忘录</w:t>
      </w:r>
      <w:bookmarkEnd w:id="0"/>
      <w:bookmarkEnd w:id="1"/>
      <w:bookmarkEnd w:id="2"/>
    </w:p>
    <w:p>
      <w:pPr>
        <w:pStyle w:val="16"/>
        <w:keepNext/>
        <w:keepLines/>
        <w:pageBreakBefore w:val="0"/>
        <w:widowControl w:val="0"/>
        <w:shd w:val="clear" w:color="auto" w:fill="auto"/>
        <w:kinsoku/>
        <w:wordWrap/>
        <w:overflowPunct/>
        <w:topLinePunct w:val="0"/>
        <w:autoSpaceDE/>
        <w:autoSpaceDN/>
        <w:bidi w:val="0"/>
        <w:adjustRightInd/>
        <w:snapToGrid/>
        <w:spacing w:before="0" w:after="0" w:line="600" w:lineRule="exact"/>
        <w:ind w:right="0"/>
        <w:jc w:val="center"/>
        <w:textAlignment w:val="auto"/>
        <w:outlineLvl w:val="9"/>
        <w:rPr>
          <w:rFonts w:hint="eastAsia" w:ascii="方正小标宋简体" w:hAnsi="方正小标宋简体" w:eastAsia="方正小标宋简体" w:cs="方正小标宋简体"/>
          <w:color w:val="000000"/>
          <w:spacing w:val="0"/>
          <w:w w:val="100"/>
          <w:position w:val="0"/>
          <w:sz w:val="44"/>
          <w:szCs w:val="44"/>
        </w:rPr>
      </w:pP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sz w:val="32"/>
        </w:rPr>
      </w:pPr>
      <w:r>
        <w:rPr>
          <w:rFonts w:eastAsia="仿宋"/>
          <w:color w:val="000000"/>
          <w:spacing w:val="0"/>
          <w:w w:val="100"/>
          <w:position w:val="0"/>
          <w:sz w:val="32"/>
        </w:rPr>
        <w:t>为深入贯彻党的十八大和十八届三中、四中、五中、六中全会精神，落实《国务院关于印发社会信用体系建设规划纲要（</w:t>
      </w:r>
      <w:r>
        <w:rPr>
          <w:rFonts w:ascii="Times New Roman" w:hAnsi="Times New Roman" w:eastAsia="仿宋" w:cs="Times New Roman"/>
          <w:color w:val="000000"/>
          <w:spacing w:val="0"/>
          <w:w w:val="100"/>
          <w:position w:val="0"/>
          <w:sz w:val="32"/>
          <w:szCs w:val="82"/>
          <w:lang w:val="en-US" w:eastAsia="en-US" w:bidi="en-US"/>
        </w:rPr>
        <w:t>2014-2020</w:t>
      </w:r>
      <w:r>
        <w:rPr>
          <w:rFonts w:eastAsia="仿宋"/>
          <w:color w:val="000000"/>
          <w:spacing w:val="0"/>
          <w:w w:val="100"/>
          <w:position w:val="0"/>
          <w:sz w:val="32"/>
        </w:rPr>
        <w:t>年）的通知》（国发</w:t>
      </w:r>
      <w:r>
        <w:rPr>
          <w:rFonts w:hint="eastAsia" w:ascii="Times New Roman" w:hAnsi="Times New Roman" w:eastAsia="仿宋" w:cs="Times New Roman"/>
          <w:color w:val="000000"/>
          <w:spacing w:val="0"/>
          <w:w w:val="100"/>
          <w:position w:val="0"/>
          <w:sz w:val="32"/>
          <w:szCs w:val="82"/>
          <w:lang w:val="en-US" w:eastAsia="zh-CN" w:bidi="en-US"/>
        </w:rPr>
        <w:t>〔</w:t>
      </w:r>
      <w:r>
        <w:rPr>
          <w:rFonts w:ascii="Times New Roman" w:hAnsi="Times New Roman" w:eastAsia="仿宋" w:cs="Times New Roman"/>
          <w:color w:val="000000"/>
          <w:spacing w:val="0"/>
          <w:w w:val="100"/>
          <w:position w:val="0"/>
          <w:sz w:val="32"/>
          <w:szCs w:val="82"/>
          <w:lang w:val="en-US" w:eastAsia="en-US" w:bidi="en-US"/>
        </w:rPr>
        <w:t>2014</w:t>
      </w:r>
      <w:r>
        <w:rPr>
          <w:rFonts w:hint="eastAsia" w:ascii="Times New Roman" w:hAnsi="Times New Roman" w:eastAsia="仿宋" w:cs="Times New Roman"/>
          <w:color w:val="000000"/>
          <w:spacing w:val="0"/>
          <w:w w:val="100"/>
          <w:position w:val="0"/>
          <w:sz w:val="32"/>
          <w:szCs w:val="82"/>
          <w:lang w:val="en-US" w:eastAsia="zh-CN" w:bidi="en-US"/>
        </w:rPr>
        <w:t>〕</w:t>
      </w:r>
      <w:r>
        <w:rPr>
          <w:rFonts w:ascii="Times New Roman" w:hAnsi="Times New Roman" w:eastAsia="仿宋" w:cs="Times New Roman"/>
          <w:color w:val="000000"/>
          <w:spacing w:val="0"/>
          <w:w w:val="100"/>
          <w:position w:val="0"/>
          <w:sz w:val="32"/>
          <w:szCs w:val="82"/>
        </w:rPr>
        <w:t>21</w:t>
      </w:r>
      <w:r>
        <w:rPr>
          <w:rFonts w:eastAsia="仿宋"/>
          <w:color w:val="000000"/>
          <w:spacing w:val="0"/>
          <w:w w:val="100"/>
          <w:position w:val="0"/>
          <w:sz w:val="32"/>
        </w:rPr>
        <w:t>号）、《国务院关于建立完善守信联合激励和失信联合惩戒制度加快推进社会诚信建设的指导意见》（国发〔</w:t>
      </w:r>
      <w:r>
        <w:rPr>
          <w:rFonts w:ascii="Times New Roman" w:hAnsi="Times New Roman" w:eastAsia="仿宋" w:cs="Times New Roman"/>
          <w:color w:val="000000"/>
          <w:spacing w:val="0"/>
          <w:w w:val="100"/>
          <w:position w:val="0"/>
          <w:sz w:val="32"/>
          <w:szCs w:val="82"/>
        </w:rPr>
        <w:t>2016</w:t>
      </w:r>
      <w:r>
        <w:rPr>
          <w:rFonts w:eastAsia="仿宋"/>
          <w:color w:val="000000"/>
          <w:spacing w:val="0"/>
          <w:w w:val="100"/>
          <w:position w:val="0"/>
          <w:sz w:val="32"/>
        </w:rPr>
        <w:t>〕</w:t>
      </w:r>
      <w:r>
        <w:rPr>
          <w:rFonts w:ascii="Times New Roman" w:hAnsi="Times New Roman" w:eastAsia="仿宋" w:cs="Times New Roman"/>
          <w:color w:val="000000"/>
          <w:spacing w:val="0"/>
          <w:w w:val="100"/>
          <w:position w:val="0"/>
          <w:sz w:val="32"/>
          <w:szCs w:val="82"/>
        </w:rPr>
        <w:t>33</w:t>
      </w:r>
      <w:r>
        <w:rPr>
          <w:rFonts w:eastAsia="仿宋"/>
          <w:color w:val="000000"/>
          <w:spacing w:val="0"/>
          <w:w w:val="100"/>
          <w:position w:val="0"/>
          <w:sz w:val="32"/>
        </w:rPr>
        <w:t>号）等有关要求，健全跨部门失信联合惩戒机制</w:t>
      </w:r>
      <w:r>
        <w:rPr>
          <w:rFonts w:hint="eastAsia" w:eastAsia="仿宋"/>
          <w:color w:val="000000"/>
          <w:spacing w:val="0"/>
          <w:w w:val="100"/>
          <w:position w:val="0"/>
          <w:sz w:val="32"/>
          <w:lang w:eastAsia="zh-CN"/>
        </w:rPr>
        <w:t>，</w:t>
      </w:r>
      <w:r>
        <w:rPr>
          <w:rFonts w:eastAsia="仿宋"/>
          <w:color w:val="000000"/>
          <w:spacing w:val="0"/>
          <w:w w:val="100"/>
          <w:position w:val="0"/>
          <w:sz w:val="32"/>
        </w:rPr>
        <w:t>推进运输物流行业信用体系建设，国家发展改革委、人民银行、交通运输部、中央编办、中央文明办、公安部、财政部、人力资源和社会保障部、国土资源部、国务院国资委、海关总署、税务总局、工商总局、质检总局、银监会、证监会、保监会、国家铁路局、中国民航局、国家邮政局等部门和单位，就运输物流行业严重违法失信市场主体及其有关人员（以下简称失信主体）实施联合惩戒，达成如下一致意见。</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黑体" w:hAnsi="黑体" w:eastAsia="黑体" w:cs="黑体"/>
          <w:sz w:val="32"/>
          <w:szCs w:val="80"/>
        </w:rPr>
      </w:pPr>
      <w:bookmarkStart w:id="3" w:name="bookmark6"/>
      <w:r>
        <w:rPr>
          <w:rFonts w:hint="eastAsia" w:ascii="黑体" w:hAnsi="黑体" w:eastAsia="黑体" w:cs="黑体"/>
          <w:color w:val="000000"/>
          <w:spacing w:val="0"/>
          <w:w w:val="100"/>
          <w:position w:val="0"/>
          <w:sz w:val="32"/>
          <w:szCs w:val="80"/>
        </w:rPr>
        <w:t>一</w:t>
      </w:r>
      <w:bookmarkEnd w:id="3"/>
      <w:r>
        <w:rPr>
          <w:rFonts w:hint="eastAsia" w:ascii="黑体" w:hAnsi="黑体" w:eastAsia="黑体" w:cs="黑体"/>
          <w:color w:val="000000"/>
          <w:spacing w:val="0"/>
          <w:w w:val="100"/>
          <w:position w:val="0"/>
          <w:sz w:val="32"/>
          <w:szCs w:val="80"/>
        </w:rPr>
        <w:t>、联合惩戒的对象</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sz w:val="32"/>
        </w:rPr>
      </w:pPr>
      <w:r>
        <w:rPr>
          <w:rFonts w:eastAsia="仿宋"/>
          <w:color w:val="000000"/>
          <w:spacing w:val="0"/>
          <w:w w:val="100"/>
          <w:position w:val="0"/>
          <w:sz w:val="32"/>
        </w:rPr>
        <w:t>联合惩戒对象为违反运输物流行业相关法律、法规、规章及规范性文件规定，违背诚实守信原则，经政府行政管理部门认定存在严重违法失信行为并被列入运输物流行业</w:t>
      </w:r>
      <w:r>
        <w:rPr>
          <w:rFonts w:eastAsia="仿宋"/>
          <w:color w:val="000000"/>
          <w:spacing w:val="0"/>
          <w:w w:val="100"/>
          <w:position w:val="0"/>
          <w:sz w:val="32"/>
          <w:lang w:val="zh-CN" w:eastAsia="zh-CN" w:bidi="zh-CN"/>
        </w:rPr>
        <w:t>“黑</w:t>
      </w:r>
      <w:r>
        <w:rPr>
          <w:rFonts w:eastAsia="仿宋"/>
          <w:color w:val="000000"/>
          <w:spacing w:val="0"/>
          <w:w w:val="100"/>
          <w:position w:val="0"/>
          <w:sz w:val="32"/>
        </w:rPr>
        <w:t>名单”的市场主体及负有直接责任的法定代表人、企业负责人、挂靠货车实际所有人及相关人员。本备忘录所指的运输物流行业市场主体为从事运输、仓</w:t>
      </w:r>
      <w:r>
        <w:rPr>
          <w:rFonts w:hint="eastAsia" w:eastAsia="仿宋"/>
          <w:color w:val="000000"/>
          <w:spacing w:val="0"/>
          <w:w w:val="100"/>
          <w:position w:val="0"/>
          <w:sz w:val="32"/>
          <w:lang w:eastAsia="zh-CN"/>
        </w:rPr>
        <w:t>储、配送、代理、包装、流通加工、快递、信息服务等物流相关业</w:t>
      </w:r>
      <w:r>
        <w:rPr>
          <w:rFonts w:eastAsia="仿宋"/>
          <w:color w:val="000000"/>
          <w:spacing w:val="0"/>
          <w:w w:val="100"/>
          <w:position w:val="0"/>
          <w:sz w:val="32"/>
        </w:rPr>
        <w:t>务的企业和个体工商户。</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黑体" w:hAnsi="黑体" w:eastAsia="黑体" w:cs="黑体"/>
          <w:sz w:val="32"/>
          <w:szCs w:val="80"/>
        </w:rPr>
      </w:pPr>
      <w:bookmarkStart w:id="4" w:name="bookmark7"/>
      <w:r>
        <w:rPr>
          <w:rFonts w:hint="eastAsia" w:ascii="黑体" w:hAnsi="黑体" w:eastAsia="黑体" w:cs="黑体"/>
          <w:color w:val="000000"/>
          <w:spacing w:val="0"/>
          <w:w w:val="100"/>
          <w:position w:val="0"/>
          <w:sz w:val="32"/>
          <w:szCs w:val="80"/>
        </w:rPr>
        <w:t>二</w:t>
      </w:r>
      <w:bookmarkEnd w:id="4"/>
      <w:r>
        <w:rPr>
          <w:rFonts w:hint="eastAsia" w:ascii="黑体" w:hAnsi="黑体" w:eastAsia="黑体" w:cs="黑体"/>
          <w:color w:val="000000"/>
          <w:spacing w:val="0"/>
          <w:w w:val="100"/>
          <w:position w:val="0"/>
          <w:sz w:val="32"/>
          <w:szCs w:val="80"/>
        </w:rPr>
        <w:t>、联合惩戒的措施</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sz w:val="32"/>
        </w:rPr>
      </w:pPr>
      <w:r>
        <w:rPr>
          <w:rFonts w:eastAsia="仿宋"/>
          <w:color w:val="000000"/>
          <w:spacing w:val="0"/>
          <w:w w:val="100"/>
          <w:position w:val="0"/>
          <w:sz w:val="32"/>
        </w:rPr>
        <w:t>除对失信主体依法依规予以处罚外，各相关部门还依照有关规定，对联合惩戒对象</w:t>
      </w:r>
      <w:r>
        <w:rPr>
          <w:rFonts w:hint="eastAsia" w:eastAsia="仿宋"/>
          <w:color w:val="000000"/>
          <w:spacing w:val="0"/>
          <w:w w:val="100"/>
          <w:position w:val="0"/>
          <w:sz w:val="32"/>
          <w:lang w:eastAsia="zh-CN"/>
        </w:rPr>
        <w:t>采</w:t>
      </w:r>
      <w:r>
        <w:rPr>
          <w:rFonts w:eastAsia="仿宋"/>
          <w:color w:val="000000"/>
          <w:spacing w:val="0"/>
          <w:w w:val="100"/>
          <w:position w:val="0"/>
          <w:sz w:val="32"/>
        </w:rPr>
        <w:t>取下列一种或多种惩戒措施（相关依据和实施部门见附录）:</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楷体" w:hAnsi="楷体" w:eastAsia="楷体" w:cs="楷体"/>
          <w:sz w:val="32"/>
        </w:rPr>
      </w:pPr>
      <w:r>
        <w:rPr>
          <w:rFonts w:hint="eastAsia" w:ascii="楷体" w:hAnsi="楷体" w:eastAsia="楷体" w:cs="楷体"/>
          <w:color w:val="000000"/>
          <w:spacing w:val="0"/>
          <w:w w:val="100"/>
          <w:position w:val="0"/>
          <w:sz w:val="32"/>
          <w:lang w:eastAsia="zh-CN"/>
        </w:rPr>
        <w:t>（一）</w:t>
      </w:r>
      <w:r>
        <w:rPr>
          <w:rFonts w:hint="eastAsia" w:ascii="楷体" w:hAnsi="楷体" w:eastAsia="楷体" w:cs="楷体"/>
          <w:color w:val="000000"/>
          <w:spacing w:val="0"/>
          <w:w w:val="100"/>
          <w:position w:val="0"/>
          <w:sz w:val="32"/>
        </w:rPr>
        <w:t>准入和支持方面的惩戒措施</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sz w:val="32"/>
        </w:rPr>
      </w:pPr>
      <w:r>
        <w:rPr>
          <w:rFonts w:ascii="Times New Roman" w:hAnsi="Times New Roman" w:eastAsia="仿宋" w:cs="Times New Roman"/>
          <w:color w:val="000000"/>
          <w:spacing w:val="0"/>
          <w:w w:val="100"/>
          <w:position w:val="0"/>
          <w:sz w:val="32"/>
          <w:szCs w:val="82"/>
        </w:rPr>
        <w:t>1</w:t>
      </w:r>
      <w:r>
        <w:rPr>
          <w:rFonts w:eastAsia="仿宋"/>
          <w:color w:val="000000"/>
          <w:spacing w:val="0"/>
          <w:w w:val="100"/>
          <w:position w:val="0"/>
          <w:sz w:val="32"/>
        </w:rPr>
        <w:t>、对失信主体申请从事道路、铁路、水路、民航运输和站场（港口、机场）经营业务，在班线和航线审批、经营许可等方面依法实行限制性管理措施。</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color w:val="000000"/>
          <w:spacing w:val="0"/>
          <w:w w:val="100"/>
          <w:position w:val="0"/>
          <w:sz w:val="32"/>
        </w:rPr>
      </w:pPr>
      <w:r>
        <w:rPr>
          <w:rFonts w:ascii="Times New Roman" w:hAnsi="Times New Roman" w:eastAsia="仿宋" w:cs="Times New Roman"/>
          <w:color w:val="000000"/>
          <w:spacing w:val="0"/>
          <w:w w:val="100"/>
          <w:position w:val="0"/>
          <w:sz w:val="32"/>
          <w:szCs w:val="82"/>
        </w:rPr>
        <w:t>2</w:t>
      </w:r>
      <w:r>
        <w:rPr>
          <w:rFonts w:eastAsia="仿宋"/>
          <w:color w:val="000000"/>
          <w:spacing w:val="0"/>
          <w:w w:val="100"/>
          <w:position w:val="0"/>
          <w:sz w:val="32"/>
        </w:rPr>
        <w:t>、对失信主体申请从事寄递物流业务，在经营许可方面依法实行限制性管理措施。</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Times New Roman" w:hAnsi="Times New Roman" w:eastAsia="仿宋" w:cs="Times New Roman"/>
          <w:b w:val="0"/>
          <w:bCs w:val="0"/>
          <w:i w:val="0"/>
          <w:iCs w:val="0"/>
          <w:smallCaps w:val="0"/>
          <w:strike w:val="0"/>
          <w:color w:val="000000"/>
          <w:spacing w:val="0"/>
          <w:w w:val="100"/>
          <w:position w:val="0"/>
          <w:sz w:val="32"/>
          <w:szCs w:val="82"/>
          <w:lang w:val="en-US" w:eastAsia="zh-CN"/>
        </w:rPr>
      </w:pPr>
      <w:r>
        <w:rPr>
          <w:rFonts w:hint="eastAsia" w:ascii="Times New Roman" w:hAnsi="Times New Roman" w:eastAsia="仿宋" w:cs="Times New Roman"/>
          <w:b w:val="0"/>
          <w:bCs w:val="0"/>
          <w:i w:val="0"/>
          <w:iCs w:val="0"/>
          <w:smallCaps w:val="0"/>
          <w:strike w:val="0"/>
          <w:color w:val="000000"/>
          <w:spacing w:val="0"/>
          <w:w w:val="100"/>
          <w:position w:val="0"/>
          <w:sz w:val="32"/>
          <w:szCs w:val="82"/>
          <w:lang w:val="en-US" w:eastAsia="zh-CN"/>
        </w:rPr>
        <w:t>3、对失信主体申请城市货运车辆通行证予以限制。</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Times New Roman" w:hAnsi="Times New Roman" w:eastAsia="仿宋" w:cs="Times New Roman"/>
          <w:b w:val="0"/>
          <w:bCs w:val="0"/>
          <w:i w:val="0"/>
          <w:iCs w:val="0"/>
          <w:smallCaps w:val="0"/>
          <w:strike w:val="0"/>
          <w:color w:val="000000"/>
          <w:spacing w:val="0"/>
          <w:w w:val="100"/>
          <w:position w:val="0"/>
          <w:sz w:val="32"/>
          <w:szCs w:val="82"/>
          <w:lang w:val="en-US" w:eastAsia="zh-CN"/>
        </w:rPr>
      </w:pPr>
      <w:r>
        <w:rPr>
          <w:rFonts w:hint="eastAsia" w:ascii="Times New Roman" w:hAnsi="Times New Roman" w:eastAsia="仿宋" w:cs="Times New Roman"/>
          <w:b w:val="0"/>
          <w:bCs w:val="0"/>
          <w:i w:val="0"/>
          <w:iCs w:val="0"/>
          <w:smallCaps w:val="0"/>
          <w:strike w:val="0"/>
          <w:color w:val="000000"/>
          <w:spacing w:val="0"/>
          <w:w w:val="100"/>
          <w:position w:val="0"/>
          <w:sz w:val="32"/>
          <w:szCs w:val="82"/>
          <w:lang w:val="en-US" w:eastAsia="zh-CN"/>
        </w:rPr>
        <w:t>4、对失信主体作为供应商参加政府采购活动依法予以限制。</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Times New Roman" w:hAnsi="Times New Roman" w:eastAsia="仿宋" w:cs="Times New Roman"/>
          <w:b w:val="0"/>
          <w:bCs w:val="0"/>
          <w:i w:val="0"/>
          <w:iCs w:val="0"/>
          <w:smallCaps w:val="0"/>
          <w:strike w:val="0"/>
          <w:color w:val="000000"/>
          <w:spacing w:val="0"/>
          <w:w w:val="100"/>
          <w:position w:val="0"/>
          <w:sz w:val="32"/>
          <w:szCs w:val="82"/>
          <w:lang w:val="en-US" w:eastAsia="zh-CN"/>
        </w:rPr>
      </w:pPr>
      <w:r>
        <w:rPr>
          <w:rFonts w:hint="eastAsia" w:ascii="Times New Roman" w:hAnsi="Times New Roman" w:eastAsia="仿宋" w:cs="Times New Roman"/>
          <w:b w:val="0"/>
          <w:bCs w:val="0"/>
          <w:i w:val="0"/>
          <w:iCs w:val="0"/>
          <w:smallCaps w:val="0"/>
          <w:strike w:val="0"/>
          <w:color w:val="000000"/>
          <w:spacing w:val="0"/>
          <w:w w:val="100"/>
          <w:position w:val="0"/>
          <w:sz w:val="32"/>
          <w:szCs w:val="82"/>
          <w:lang w:val="en-US" w:eastAsia="zh-CN"/>
        </w:rPr>
        <w:t>5、对失信主体参与工程等招投标依法予以限制。</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Times New Roman" w:hAnsi="Times New Roman" w:eastAsia="仿宋" w:cs="Times New Roman"/>
          <w:b w:val="0"/>
          <w:bCs w:val="0"/>
          <w:i w:val="0"/>
          <w:iCs w:val="0"/>
          <w:smallCaps w:val="0"/>
          <w:strike w:val="0"/>
          <w:color w:val="000000"/>
          <w:spacing w:val="0"/>
          <w:w w:val="100"/>
          <w:position w:val="0"/>
          <w:sz w:val="32"/>
          <w:szCs w:val="82"/>
          <w:lang w:val="en-US" w:eastAsia="zh-CN"/>
        </w:rPr>
      </w:pPr>
      <w:r>
        <w:rPr>
          <w:rFonts w:hint="eastAsia" w:ascii="Times New Roman" w:hAnsi="Times New Roman" w:eastAsia="仿宋" w:cs="Times New Roman"/>
          <w:b w:val="0"/>
          <w:bCs w:val="0"/>
          <w:i w:val="0"/>
          <w:iCs w:val="0"/>
          <w:smallCaps w:val="0"/>
          <w:strike w:val="0"/>
          <w:color w:val="000000"/>
          <w:spacing w:val="0"/>
          <w:w w:val="100"/>
          <w:position w:val="0"/>
          <w:sz w:val="32"/>
          <w:szCs w:val="82"/>
          <w:lang w:val="en-US" w:eastAsia="zh-CN"/>
        </w:rPr>
        <w:t>6、对失信主体在取得政府供应土地方面依法予以限制。</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Times New Roman" w:hAnsi="Times New Roman" w:eastAsia="仿宋" w:cs="Times New Roman"/>
          <w:b w:val="0"/>
          <w:bCs w:val="0"/>
          <w:i w:val="0"/>
          <w:iCs w:val="0"/>
          <w:smallCaps w:val="0"/>
          <w:strike w:val="0"/>
          <w:color w:val="000000"/>
          <w:spacing w:val="0"/>
          <w:w w:val="100"/>
          <w:position w:val="0"/>
          <w:sz w:val="32"/>
          <w:szCs w:val="82"/>
          <w:lang w:val="en-US" w:eastAsia="zh-CN"/>
        </w:rPr>
      </w:pPr>
      <w:r>
        <w:rPr>
          <w:rFonts w:hint="eastAsia" w:ascii="Times New Roman" w:hAnsi="Times New Roman" w:eastAsia="仿宋" w:cs="Times New Roman"/>
          <w:b w:val="0"/>
          <w:bCs w:val="0"/>
          <w:i w:val="0"/>
          <w:iCs w:val="0"/>
          <w:smallCaps w:val="0"/>
          <w:strike w:val="0"/>
          <w:color w:val="000000"/>
          <w:spacing w:val="0"/>
          <w:w w:val="100"/>
          <w:position w:val="0"/>
          <w:sz w:val="32"/>
          <w:szCs w:val="82"/>
          <w:lang w:val="en-US" w:eastAsia="zh-CN"/>
        </w:rPr>
        <w:t>7、在财政补贴资金安排过程中，将失信信息作为审核的重要参考。</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Times New Roman" w:hAnsi="Times New Roman" w:eastAsia="仿宋" w:cs="Times New Roman"/>
          <w:b w:val="0"/>
          <w:bCs w:val="0"/>
          <w:i w:val="0"/>
          <w:iCs w:val="0"/>
          <w:smallCaps w:val="0"/>
          <w:strike w:val="0"/>
          <w:color w:val="000000"/>
          <w:spacing w:val="0"/>
          <w:w w:val="100"/>
          <w:position w:val="0"/>
          <w:sz w:val="32"/>
          <w:szCs w:val="82"/>
          <w:lang w:val="en-US" w:eastAsia="zh-CN"/>
        </w:rPr>
      </w:pPr>
      <w:r>
        <w:rPr>
          <w:rFonts w:hint="eastAsia" w:ascii="Times New Roman" w:hAnsi="Times New Roman" w:eastAsia="仿宋" w:cs="Times New Roman"/>
          <w:b w:val="0"/>
          <w:bCs w:val="0"/>
          <w:i w:val="0"/>
          <w:iCs w:val="0"/>
          <w:smallCaps w:val="0"/>
          <w:strike w:val="0"/>
          <w:color w:val="000000"/>
          <w:spacing w:val="0"/>
          <w:w w:val="100"/>
          <w:position w:val="0"/>
          <w:sz w:val="32"/>
          <w:szCs w:val="82"/>
          <w:lang w:val="en-US" w:eastAsia="zh-CN"/>
        </w:rPr>
        <w:t>8、对失信主体在申请取得认证机构资质、获得认证证书方面予以限制。</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sz w:val="32"/>
        </w:rPr>
      </w:pPr>
      <w:r>
        <w:rPr>
          <w:rFonts w:hint="eastAsia" w:ascii="楷体" w:hAnsi="楷体" w:eastAsia="楷体" w:cs="楷体"/>
          <w:color w:val="000000"/>
          <w:spacing w:val="0"/>
          <w:w w:val="100"/>
          <w:position w:val="0"/>
          <w:sz w:val="32"/>
          <w:lang w:eastAsia="zh-CN"/>
        </w:rPr>
        <w:t>（二）监管</w:t>
      </w:r>
      <w:r>
        <w:rPr>
          <w:rFonts w:hint="eastAsia" w:ascii="楷体" w:hAnsi="楷体" w:eastAsia="楷体" w:cs="楷体"/>
          <w:color w:val="000000"/>
          <w:spacing w:val="0"/>
          <w:w w:val="100"/>
          <w:position w:val="0"/>
          <w:sz w:val="32"/>
        </w:rPr>
        <w:t>方面的惩戒措施</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sz w:val="32"/>
        </w:rPr>
      </w:pPr>
      <w:bookmarkStart w:id="5" w:name="bookmark8"/>
      <w:r>
        <w:rPr>
          <w:rFonts w:ascii="Times New Roman" w:hAnsi="Times New Roman" w:eastAsia="仿宋" w:cs="Times New Roman"/>
          <w:color w:val="000000"/>
          <w:spacing w:val="0"/>
          <w:w w:val="100"/>
          <w:position w:val="0"/>
          <w:sz w:val="32"/>
          <w:szCs w:val="82"/>
          <w:lang w:val="zh-CN" w:eastAsia="zh-CN" w:bidi="zh-CN"/>
        </w:rPr>
        <w:t>9</w:t>
      </w:r>
      <w:bookmarkEnd w:id="5"/>
      <w:r>
        <w:rPr>
          <w:rFonts w:eastAsia="仿宋"/>
          <w:color w:val="000000"/>
          <w:spacing w:val="0"/>
          <w:w w:val="100"/>
          <w:position w:val="0"/>
          <w:sz w:val="32"/>
          <w:lang w:val="zh-CN" w:eastAsia="zh-CN" w:bidi="zh-CN"/>
        </w:rPr>
        <w:t>、</w:t>
      </w:r>
      <w:r>
        <w:rPr>
          <w:rFonts w:eastAsia="仿宋"/>
          <w:color w:val="000000"/>
          <w:spacing w:val="0"/>
          <w:w w:val="100"/>
          <w:position w:val="0"/>
          <w:sz w:val="32"/>
        </w:rPr>
        <w:t>将失信主体的信用状况作为税务部门评价其纳税信用级别的重要参考。</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sz w:val="32"/>
        </w:rPr>
      </w:pPr>
      <w:bookmarkStart w:id="6" w:name="bookmark9"/>
      <w:r>
        <w:rPr>
          <w:rFonts w:ascii="Times New Roman" w:hAnsi="Times New Roman" w:eastAsia="仿宋" w:cs="Times New Roman"/>
          <w:color w:val="000000"/>
          <w:spacing w:val="0"/>
          <w:w w:val="100"/>
          <w:position w:val="0"/>
          <w:sz w:val="32"/>
          <w:szCs w:val="82"/>
        </w:rPr>
        <w:t>1</w:t>
      </w:r>
      <w:bookmarkEnd w:id="6"/>
      <w:r>
        <w:rPr>
          <w:rFonts w:ascii="Times New Roman" w:hAnsi="Times New Roman" w:eastAsia="仿宋" w:cs="Times New Roman"/>
          <w:color w:val="000000"/>
          <w:spacing w:val="0"/>
          <w:w w:val="100"/>
          <w:position w:val="0"/>
          <w:sz w:val="32"/>
          <w:szCs w:val="82"/>
        </w:rPr>
        <w:t>0</w:t>
      </w:r>
      <w:r>
        <w:rPr>
          <w:rFonts w:eastAsia="仿宋"/>
          <w:color w:val="000000"/>
          <w:spacing w:val="0"/>
          <w:w w:val="100"/>
          <w:position w:val="0"/>
          <w:sz w:val="32"/>
        </w:rPr>
        <w:t>、对失信主体申请适用海关认证企业管理的，不予通过认证</w:t>
      </w:r>
      <w:r>
        <w:rPr>
          <w:rFonts w:hint="eastAsia" w:eastAsia="仿宋"/>
          <w:color w:val="000000"/>
          <w:spacing w:val="0"/>
          <w:w w:val="100"/>
          <w:position w:val="0"/>
          <w:sz w:val="32"/>
          <w:lang w:eastAsia="zh-CN"/>
        </w:rPr>
        <w:t>；</w:t>
      </w:r>
      <w:r>
        <w:rPr>
          <w:rFonts w:eastAsia="仿宋"/>
          <w:color w:val="000000"/>
          <w:spacing w:val="0"/>
          <w:w w:val="100"/>
          <w:position w:val="0"/>
          <w:sz w:val="32"/>
        </w:rPr>
        <w:t>对已经成为认证企业的，按照规定下调企业信用等级。</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eastAsia="仿宋"/>
          <w:color w:val="000000"/>
          <w:spacing w:val="0"/>
          <w:w w:val="100"/>
          <w:position w:val="0"/>
          <w:sz w:val="32"/>
          <w:lang w:eastAsia="zh-CN"/>
        </w:rPr>
      </w:pPr>
      <w:bookmarkStart w:id="7" w:name="bookmark10"/>
      <w:r>
        <w:rPr>
          <w:rFonts w:ascii="Times New Roman" w:hAnsi="Times New Roman" w:eastAsia="仿宋" w:cs="Times New Roman"/>
          <w:color w:val="000000"/>
          <w:spacing w:val="0"/>
          <w:w w:val="100"/>
          <w:position w:val="0"/>
          <w:sz w:val="32"/>
          <w:szCs w:val="82"/>
        </w:rPr>
        <w:t>1</w:t>
      </w:r>
      <w:bookmarkEnd w:id="7"/>
      <w:r>
        <w:rPr>
          <w:rFonts w:ascii="Times New Roman" w:hAnsi="Times New Roman" w:eastAsia="仿宋" w:cs="Times New Roman"/>
          <w:color w:val="000000"/>
          <w:spacing w:val="0"/>
          <w:w w:val="100"/>
          <w:position w:val="0"/>
          <w:sz w:val="32"/>
          <w:szCs w:val="82"/>
        </w:rPr>
        <w:t>1</w:t>
      </w:r>
      <w:r>
        <w:rPr>
          <w:rFonts w:eastAsia="仿宋"/>
          <w:color w:val="000000"/>
          <w:spacing w:val="0"/>
          <w:w w:val="100"/>
          <w:position w:val="0"/>
          <w:sz w:val="32"/>
        </w:rPr>
        <w:t>、在失信主体办理通关等海关业务时，对其进出口货物实施</w:t>
      </w:r>
      <w:bookmarkStart w:id="8" w:name="bookmark11"/>
      <w:r>
        <w:rPr>
          <w:rFonts w:hint="eastAsia" w:eastAsia="仿宋"/>
          <w:color w:val="000000"/>
          <w:spacing w:val="0"/>
          <w:w w:val="100"/>
          <w:position w:val="0"/>
          <w:sz w:val="32"/>
          <w:lang w:eastAsia="zh-CN"/>
        </w:rPr>
        <w:t>严密监管，加强单证审核、布控查验或后续稽查。</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eastAsia="仿宋"/>
          <w:sz w:val="32"/>
          <w:lang w:eastAsia="zh-CN"/>
        </w:rPr>
      </w:pPr>
      <w:r>
        <w:rPr>
          <w:rFonts w:ascii="Times New Roman" w:hAnsi="Times New Roman" w:eastAsia="仿宋" w:cs="Times New Roman"/>
          <w:color w:val="000000"/>
          <w:spacing w:val="0"/>
          <w:w w:val="100"/>
          <w:position w:val="0"/>
          <w:sz w:val="32"/>
          <w:szCs w:val="82"/>
        </w:rPr>
        <w:t>1</w:t>
      </w:r>
      <w:bookmarkEnd w:id="8"/>
      <w:r>
        <w:rPr>
          <w:rFonts w:ascii="Times New Roman" w:hAnsi="Times New Roman" w:eastAsia="仿宋" w:cs="Times New Roman"/>
          <w:color w:val="000000"/>
          <w:spacing w:val="0"/>
          <w:w w:val="100"/>
          <w:position w:val="0"/>
          <w:sz w:val="32"/>
          <w:szCs w:val="82"/>
        </w:rPr>
        <w:t>2</w:t>
      </w:r>
      <w:r>
        <w:rPr>
          <w:rFonts w:eastAsia="仿宋"/>
          <w:color w:val="000000"/>
          <w:spacing w:val="0"/>
          <w:w w:val="100"/>
          <w:position w:val="0"/>
          <w:sz w:val="32"/>
        </w:rPr>
        <w:t>、将失信主体的信用状况作为进出口检验检疫监管的重要参</w:t>
      </w:r>
      <w:r>
        <w:rPr>
          <w:rFonts w:ascii="宋体" w:hAnsi="宋体" w:eastAsia="仿宋" w:cs="宋体"/>
          <w:color w:val="000000"/>
          <w:spacing w:val="0"/>
          <w:w w:val="100"/>
          <w:position w:val="0"/>
          <w:sz w:val="32"/>
          <w:szCs w:val="74"/>
        </w:rPr>
        <w:t>考</w:t>
      </w:r>
      <w:r>
        <w:rPr>
          <w:rFonts w:hint="eastAsia" w:eastAsia="仿宋" w:cs="宋体"/>
          <w:color w:val="000000"/>
          <w:spacing w:val="0"/>
          <w:w w:val="100"/>
          <w:position w:val="0"/>
          <w:sz w:val="32"/>
          <w:szCs w:val="74"/>
          <w:lang w:eastAsia="zh-CN"/>
        </w:rPr>
        <w:t>。</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楷体" w:hAnsi="楷体" w:eastAsia="楷体" w:cs="楷体"/>
          <w:sz w:val="32"/>
        </w:rPr>
      </w:pPr>
      <w:bookmarkStart w:id="9" w:name="bookmark12"/>
      <w:r>
        <w:rPr>
          <w:rFonts w:hint="eastAsia" w:ascii="楷体" w:hAnsi="楷体" w:eastAsia="楷体" w:cs="楷体"/>
          <w:color w:val="000000"/>
          <w:spacing w:val="0"/>
          <w:w w:val="100"/>
          <w:position w:val="0"/>
          <w:sz w:val="32"/>
        </w:rPr>
        <w:t>（</w:t>
      </w:r>
      <w:bookmarkEnd w:id="9"/>
      <w:r>
        <w:rPr>
          <w:rFonts w:hint="eastAsia" w:ascii="楷体" w:hAnsi="楷体" w:eastAsia="楷体" w:cs="楷体"/>
          <w:color w:val="000000"/>
          <w:spacing w:val="0"/>
          <w:w w:val="100"/>
          <w:position w:val="0"/>
          <w:sz w:val="32"/>
        </w:rPr>
        <w:t>三）金融方面的惩戒措施</w:t>
      </w:r>
    </w:p>
    <w:p>
      <w:pPr>
        <w:pStyle w:val="18"/>
        <w:keepNext w:val="0"/>
        <w:keepLines w:val="0"/>
        <w:pageBreakBefore w:val="0"/>
        <w:widowControl w:val="0"/>
        <w:shd w:val="clear" w:color="auto" w:fill="auto"/>
        <w:tabs>
          <w:tab w:val="left" w:pos="3330"/>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sz w:val="32"/>
        </w:rPr>
      </w:pPr>
      <w:bookmarkStart w:id="10" w:name="bookmark13"/>
      <w:r>
        <w:rPr>
          <w:rFonts w:ascii="Times New Roman" w:hAnsi="Times New Roman" w:eastAsia="仿宋" w:cs="Times New Roman"/>
          <w:color w:val="000000"/>
          <w:spacing w:val="0"/>
          <w:w w:val="100"/>
          <w:position w:val="0"/>
          <w:sz w:val="32"/>
          <w:szCs w:val="82"/>
        </w:rPr>
        <w:t>1</w:t>
      </w:r>
      <w:bookmarkEnd w:id="10"/>
      <w:r>
        <w:rPr>
          <w:rFonts w:ascii="Times New Roman" w:hAnsi="Times New Roman" w:eastAsia="仿宋" w:cs="Times New Roman"/>
          <w:color w:val="000000"/>
          <w:spacing w:val="0"/>
          <w:w w:val="100"/>
          <w:position w:val="0"/>
          <w:sz w:val="32"/>
          <w:szCs w:val="82"/>
        </w:rPr>
        <w:t>3</w:t>
      </w:r>
      <w:r>
        <w:rPr>
          <w:rFonts w:eastAsia="仿宋"/>
          <w:color w:val="000000"/>
          <w:spacing w:val="0"/>
          <w:w w:val="100"/>
          <w:position w:val="0"/>
          <w:sz w:val="32"/>
        </w:rPr>
        <w:t>、将失信状况作为金融机构融资授信时的审慎性参考。</w:t>
      </w:r>
    </w:p>
    <w:p>
      <w:pPr>
        <w:pStyle w:val="18"/>
        <w:keepNext w:val="0"/>
        <w:keepLines w:val="0"/>
        <w:pageBreakBefore w:val="0"/>
        <w:widowControl w:val="0"/>
        <w:shd w:val="clear" w:color="auto" w:fill="auto"/>
        <w:tabs>
          <w:tab w:val="left" w:pos="3330"/>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sz w:val="32"/>
        </w:rPr>
      </w:pPr>
      <w:bookmarkStart w:id="11" w:name="bookmark14"/>
      <w:r>
        <w:rPr>
          <w:rFonts w:ascii="Times New Roman" w:hAnsi="Times New Roman" w:eastAsia="仿宋" w:cs="Times New Roman"/>
          <w:color w:val="000000"/>
          <w:spacing w:val="0"/>
          <w:w w:val="100"/>
          <w:position w:val="0"/>
          <w:sz w:val="32"/>
          <w:szCs w:val="82"/>
        </w:rPr>
        <w:t>1</w:t>
      </w:r>
      <w:bookmarkEnd w:id="11"/>
      <w:r>
        <w:rPr>
          <w:rFonts w:ascii="Times New Roman" w:hAnsi="Times New Roman" w:eastAsia="仿宋" w:cs="Times New Roman"/>
          <w:color w:val="000000"/>
          <w:spacing w:val="0"/>
          <w:w w:val="100"/>
          <w:position w:val="0"/>
          <w:sz w:val="32"/>
          <w:szCs w:val="82"/>
        </w:rPr>
        <w:t>4</w:t>
      </w:r>
      <w:r>
        <w:rPr>
          <w:rFonts w:eastAsia="仿宋"/>
          <w:color w:val="000000"/>
          <w:spacing w:val="0"/>
          <w:w w:val="100"/>
          <w:position w:val="0"/>
          <w:sz w:val="32"/>
        </w:rPr>
        <w:t>、将失信信息作为公开发行公司债券核准的重要参考。对失信主体发行企业债券从严审核；在银行间市场发行非金融企业债务融资工具限制注册，并按照注册发行有关工作要求，强化信息披露</w:t>
      </w:r>
      <w:r>
        <w:rPr>
          <w:rFonts w:hint="eastAsia" w:eastAsia="仿宋"/>
          <w:color w:val="000000"/>
          <w:spacing w:val="0"/>
          <w:w w:val="100"/>
          <w:position w:val="0"/>
          <w:sz w:val="32"/>
          <w:lang w:eastAsia="zh-CN"/>
        </w:rPr>
        <w:t>，</w:t>
      </w:r>
      <w:r>
        <w:rPr>
          <w:rFonts w:eastAsia="仿宋"/>
          <w:color w:val="000000"/>
          <w:spacing w:val="0"/>
          <w:w w:val="100"/>
          <w:position w:val="0"/>
          <w:sz w:val="32"/>
        </w:rPr>
        <w:t>加强投资者保护机制管理，防范有关风险。</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sz w:val="32"/>
        </w:rPr>
      </w:pPr>
      <w:bookmarkStart w:id="12" w:name="bookmark15"/>
      <w:r>
        <w:rPr>
          <w:rFonts w:ascii="Times New Roman" w:hAnsi="Times New Roman" w:eastAsia="仿宋" w:cs="Times New Roman"/>
          <w:color w:val="000000"/>
          <w:spacing w:val="0"/>
          <w:w w:val="100"/>
          <w:position w:val="0"/>
          <w:sz w:val="32"/>
          <w:szCs w:val="82"/>
        </w:rPr>
        <w:t>1</w:t>
      </w:r>
      <w:bookmarkEnd w:id="12"/>
      <w:r>
        <w:rPr>
          <w:rFonts w:ascii="Times New Roman" w:hAnsi="Times New Roman" w:eastAsia="仿宋" w:cs="Times New Roman"/>
          <w:color w:val="000000"/>
          <w:spacing w:val="0"/>
          <w:w w:val="100"/>
          <w:position w:val="0"/>
          <w:sz w:val="32"/>
          <w:szCs w:val="82"/>
        </w:rPr>
        <w:t>5</w:t>
      </w:r>
      <w:r>
        <w:rPr>
          <w:rFonts w:eastAsia="仿宋"/>
          <w:color w:val="000000"/>
          <w:spacing w:val="0"/>
          <w:w w:val="100"/>
          <w:position w:val="0"/>
          <w:sz w:val="32"/>
        </w:rPr>
        <w:t>、将失信信息作为股票发行审核及在全国中小企业股份转让系统公开转让审核的参考。</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sz w:val="32"/>
        </w:rPr>
      </w:pPr>
      <w:bookmarkStart w:id="13" w:name="bookmark16"/>
      <w:r>
        <w:rPr>
          <w:rFonts w:ascii="Times New Roman" w:hAnsi="Times New Roman" w:eastAsia="仿宋" w:cs="Times New Roman"/>
          <w:color w:val="000000"/>
          <w:spacing w:val="0"/>
          <w:w w:val="100"/>
          <w:position w:val="0"/>
          <w:sz w:val="32"/>
          <w:szCs w:val="82"/>
        </w:rPr>
        <w:t>1</w:t>
      </w:r>
      <w:bookmarkEnd w:id="13"/>
      <w:r>
        <w:rPr>
          <w:rFonts w:ascii="Times New Roman" w:hAnsi="Times New Roman" w:eastAsia="仿宋" w:cs="Times New Roman"/>
          <w:color w:val="000000"/>
          <w:spacing w:val="0"/>
          <w:w w:val="100"/>
          <w:position w:val="0"/>
          <w:sz w:val="32"/>
          <w:szCs w:val="82"/>
        </w:rPr>
        <w:t>6</w:t>
      </w:r>
      <w:r>
        <w:rPr>
          <w:rFonts w:eastAsia="仿宋"/>
          <w:color w:val="000000"/>
          <w:spacing w:val="0"/>
          <w:w w:val="100"/>
          <w:position w:val="0"/>
          <w:sz w:val="32"/>
        </w:rPr>
        <w:t>、在上市公司或者非上市公众公司收购的事中事后监管中,对失信主体予以关注。</w:t>
      </w:r>
    </w:p>
    <w:p>
      <w:pPr>
        <w:pStyle w:val="18"/>
        <w:keepNext w:val="0"/>
        <w:keepLines w:val="0"/>
        <w:pageBreakBefore w:val="0"/>
        <w:widowControl w:val="0"/>
        <w:shd w:val="clear" w:color="auto" w:fill="auto"/>
        <w:tabs>
          <w:tab w:val="left" w:pos="3330"/>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color w:val="000000" w:themeColor="text1"/>
          <w:sz w:val="32"/>
          <w14:textFill>
            <w14:solidFill>
              <w14:schemeClr w14:val="tx1"/>
            </w14:solidFill>
          </w14:textFill>
        </w:rPr>
      </w:pPr>
      <w:bookmarkStart w:id="14" w:name="bookmark17"/>
      <w:r>
        <w:rPr>
          <w:rFonts w:ascii="Times New Roman" w:hAnsi="Times New Roman" w:eastAsia="仿宋" w:cs="Times New Roman"/>
          <w:color w:val="000000"/>
          <w:spacing w:val="0"/>
          <w:w w:val="100"/>
          <w:position w:val="0"/>
          <w:sz w:val="32"/>
          <w:szCs w:val="82"/>
        </w:rPr>
        <w:t>1</w:t>
      </w:r>
      <w:bookmarkEnd w:id="14"/>
      <w:r>
        <w:rPr>
          <w:rFonts w:ascii="Times New Roman" w:hAnsi="Times New Roman" w:eastAsia="仿宋" w:cs="Times New Roman"/>
          <w:color w:val="000000"/>
          <w:spacing w:val="0"/>
          <w:w w:val="100"/>
          <w:position w:val="0"/>
          <w:sz w:val="32"/>
          <w:szCs w:val="82"/>
        </w:rPr>
        <w:t>7</w:t>
      </w:r>
      <w:r>
        <w:rPr>
          <w:rFonts w:eastAsia="仿宋"/>
          <w:color w:val="000000"/>
          <w:spacing w:val="0"/>
          <w:w w:val="100"/>
          <w:position w:val="0"/>
          <w:sz w:val="32"/>
        </w:rPr>
        <w:t>、在境内上市公司实行股权激励计划或相关人员成为股权</w:t>
      </w:r>
      <w:r>
        <w:rPr>
          <w:rFonts w:eastAsia="仿宋"/>
          <w:color w:val="000000" w:themeColor="text1"/>
          <w:spacing w:val="0"/>
          <w:w w:val="100"/>
          <w:position w:val="0"/>
          <w:sz w:val="32"/>
          <w14:textFill>
            <w14:solidFill>
              <w14:schemeClr w14:val="tx1"/>
            </w14:solidFill>
          </w14:textFill>
        </w:rPr>
        <w:t>激励对象事中事后监管中，对失信主体予以关注。</w:t>
      </w:r>
    </w:p>
    <w:p>
      <w:pPr>
        <w:pStyle w:val="18"/>
        <w:keepNext w:val="0"/>
        <w:keepLines w:val="0"/>
        <w:pageBreakBefore w:val="0"/>
        <w:widowControl w:val="0"/>
        <w:shd w:val="clear" w:color="auto" w:fill="auto"/>
        <w:tabs>
          <w:tab w:val="left" w:pos="3330"/>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color w:val="000000" w:themeColor="text1"/>
          <w:sz w:val="32"/>
          <w14:textFill>
            <w14:solidFill>
              <w14:schemeClr w14:val="tx1"/>
            </w14:solidFill>
          </w14:textFill>
        </w:rPr>
      </w:pPr>
      <w:bookmarkStart w:id="15" w:name="bookmark18"/>
      <w:r>
        <w:rPr>
          <w:rFonts w:ascii="Times New Roman" w:hAnsi="Times New Roman" w:eastAsia="仿宋" w:cs="Times New Roman"/>
          <w:color w:val="000000" w:themeColor="text1"/>
          <w:spacing w:val="0"/>
          <w:w w:val="100"/>
          <w:position w:val="0"/>
          <w:sz w:val="32"/>
          <w:szCs w:val="82"/>
          <w14:textFill>
            <w14:solidFill>
              <w14:schemeClr w14:val="tx1"/>
            </w14:solidFill>
          </w14:textFill>
        </w:rPr>
        <w:t>1</w:t>
      </w:r>
      <w:bookmarkEnd w:id="15"/>
      <w:r>
        <w:rPr>
          <w:rFonts w:ascii="Times New Roman" w:hAnsi="Times New Roman" w:eastAsia="仿宋" w:cs="Times New Roman"/>
          <w:color w:val="000000" w:themeColor="text1"/>
          <w:spacing w:val="0"/>
          <w:w w:val="100"/>
          <w:position w:val="0"/>
          <w:sz w:val="32"/>
          <w:szCs w:val="82"/>
          <w14:textFill>
            <w14:solidFill>
              <w14:schemeClr w14:val="tx1"/>
            </w14:solidFill>
          </w14:textFill>
        </w:rPr>
        <w:t>8</w:t>
      </w:r>
      <w:r>
        <w:rPr>
          <w:rFonts w:eastAsia="仿宋"/>
          <w:color w:val="000000" w:themeColor="text1"/>
          <w:spacing w:val="0"/>
          <w:w w:val="100"/>
          <w:position w:val="0"/>
          <w:sz w:val="32"/>
          <w14:textFill>
            <w14:solidFill>
              <w14:schemeClr w14:val="tx1"/>
            </w14:solidFill>
          </w14:textFill>
        </w:rPr>
        <w:t>、在审批证券公司、基金管理公司、期货公司的设立、私募基金管理人登记及变更持有</w:t>
      </w:r>
      <w:r>
        <w:rPr>
          <w:rFonts w:ascii="Times New Roman" w:hAnsi="Times New Roman" w:eastAsia="仿宋" w:cs="Times New Roman"/>
          <w:color w:val="000000" w:themeColor="text1"/>
          <w:spacing w:val="0"/>
          <w:w w:val="100"/>
          <w:position w:val="0"/>
          <w:sz w:val="32"/>
          <w:szCs w:val="82"/>
          <w14:textFill>
            <w14:solidFill>
              <w14:schemeClr w14:val="tx1"/>
            </w14:solidFill>
          </w14:textFill>
        </w:rPr>
        <w:t>5%</w:t>
      </w:r>
      <w:r>
        <w:rPr>
          <w:rFonts w:eastAsia="仿宋"/>
          <w:color w:val="000000" w:themeColor="text1"/>
          <w:spacing w:val="0"/>
          <w:w w:val="100"/>
          <w:position w:val="0"/>
          <w:sz w:val="32"/>
          <w14:textFill>
            <w14:solidFill>
              <w14:schemeClr w14:val="tx1"/>
            </w14:solidFill>
          </w14:textFill>
        </w:rPr>
        <w:t>以上股权的股东、实际控制人时，将其失信信息作为审批的参考。</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color w:val="000000" w:themeColor="text1"/>
          <w:sz w:val="32"/>
          <w14:textFill>
            <w14:solidFill>
              <w14:schemeClr w14:val="tx1"/>
            </w14:solidFill>
          </w14:textFill>
        </w:rPr>
      </w:pPr>
      <w:bookmarkStart w:id="16" w:name="bookmark19"/>
      <w:r>
        <w:rPr>
          <w:rFonts w:ascii="Times New Roman" w:hAnsi="Times New Roman" w:eastAsia="仿宋" w:cs="Times New Roman"/>
          <w:color w:val="000000" w:themeColor="text1"/>
          <w:spacing w:val="0"/>
          <w:w w:val="100"/>
          <w:position w:val="0"/>
          <w:sz w:val="32"/>
          <w:szCs w:val="82"/>
          <w14:textFill>
            <w14:solidFill>
              <w14:schemeClr w14:val="tx1"/>
            </w14:solidFill>
          </w14:textFill>
        </w:rPr>
        <w:t>1</w:t>
      </w:r>
      <w:bookmarkEnd w:id="16"/>
      <w:r>
        <w:rPr>
          <w:rFonts w:ascii="Times New Roman" w:hAnsi="Times New Roman" w:eastAsia="仿宋" w:cs="Times New Roman"/>
          <w:color w:val="000000" w:themeColor="text1"/>
          <w:spacing w:val="0"/>
          <w:w w:val="100"/>
          <w:position w:val="0"/>
          <w:sz w:val="32"/>
          <w:szCs w:val="82"/>
          <w14:textFill>
            <w14:solidFill>
              <w14:schemeClr w14:val="tx1"/>
            </w14:solidFill>
          </w14:textFill>
        </w:rPr>
        <w:t>9</w:t>
      </w:r>
      <w:r>
        <w:rPr>
          <w:rFonts w:eastAsia="仿宋"/>
          <w:color w:val="000000" w:themeColor="text1"/>
          <w:spacing w:val="0"/>
          <w:w w:val="100"/>
          <w:position w:val="0"/>
          <w:sz w:val="32"/>
          <w14:textFill>
            <w14:solidFill>
              <w14:schemeClr w14:val="tx1"/>
            </w14:solidFill>
          </w14:textFill>
        </w:rPr>
        <w:t>、将失信状况作为保险公司核定保险费率的重要参考。</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color w:val="000000" w:themeColor="text1"/>
          <w:sz w:val="32"/>
          <w14:textFill>
            <w14:solidFill>
              <w14:schemeClr w14:val="tx1"/>
            </w14:solidFill>
          </w14:textFill>
        </w:rPr>
      </w:pPr>
      <w:bookmarkStart w:id="17" w:name="bookmark20"/>
      <w:r>
        <w:rPr>
          <w:rFonts w:hint="eastAsia" w:ascii="楷体" w:hAnsi="楷体" w:eastAsia="楷体" w:cs="楷体"/>
          <w:color w:val="000000" w:themeColor="text1"/>
          <w:spacing w:val="0"/>
          <w:w w:val="100"/>
          <w:position w:val="0"/>
          <w:sz w:val="32"/>
          <w14:textFill>
            <w14:solidFill>
              <w14:schemeClr w14:val="tx1"/>
            </w14:solidFill>
          </w14:textFill>
        </w:rPr>
        <w:t>（</w:t>
      </w:r>
      <w:bookmarkEnd w:id="17"/>
      <w:r>
        <w:rPr>
          <w:rFonts w:hint="eastAsia" w:ascii="楷体" w:hAnsi="楷体" w:eastAsia="楷体" w:cs="楷体"/>
          <w:color w:val="000000" w:themeColor="text1"/>
          <w:spacing w:val="0"/>
          <w:w w:val="100"/>
          <w:position w:val="0"/>
          <w:sz w:val="32"/>
          <w14:textFill>
            <w14:solidFill>
              <w14:schemeClr w14:val="tx1"/>
            </w14:solidFill>
          </w14:textFill>
        </w:rPr>
        <w:t>四）从业资格方而的惩戒措施</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color w:val="000000" w:themeColor="text1"/>
          <w:sz w:val="32"/>
          <w14:textFill>
            <w14:solidFill>
              <w14:schemeClr w14:val="tx1"/>
            </w14:solidFill>
          </w14:textFill>
        </w:rPr>
      </w:pPr>
      <w:bookmarkStart w:id="18" w:name="bookmark21"/>
      <w:r>
        <w:rPr>
          <w:rFonts w:ascii="Times New Roman" w:hAnsi="Times New Roman" w:eastAsia="仿宋" w:cs="Times New Roman"/>
          <w:color w:val="000000" w:themeColor="text1"/>
          <w:spacing w:val="0"/>
          <w:w w:val="100"/>
          <w:position w:val="0"/>
          <w:sz w:val="32"/>
          <w:szCs w:val="82"/>
          <w14:textFill>
            <w14:solidFill>
              <w14:schemeClr w14:val="tx1"/>
            </w14:solidFill>
          </w14:textFill>
        </w:rPr>
        <w:t>2</w:t>
      </w:r>
      <w:bookmarkEnd w:id="18"/>
      <w:r>
        <w:rPr>
          <w:rFonts w:ascii="Times New Roman" w:hAnsi="Times New Roman" w:eastAsia="仿宋" w:cs="Times New Roman"/>
          <w:color w:val="000000" w:themeColor="text1"/>
          <w:spacing w:val="0"/>
          <w:w w:val="100"/>
          <w:position w:val="0"/>
          <w:sz w:val="32"/>
          <w:szCs w:val="82"/>
          <w14:textFill>
            <w14:solidFill>
              <w14:schemeClr w14:val="tx1"/>
            </w14:solidFill>
          </w14:textFill>
        </w:rPr>
        <w:t>0</w:t>
      </w:r>
      <w:r>
        <w:rPr>
          <w:rFonts w:eastAsia="仿宋"/>
          <w:color w:val="000000" w:themeColor="text1"/>
          <w:spacing w:val="0"/>
          <w:w w:val="100"/>
          <w:position w:val="0"/>
          <w:sz w:val="32"/>
          <w14:textFill>
            <w14:solidFill>
              <w14:schemeClr w14:val="tx1"/>
            </w14:solidFill>
          </w14:textFill>
        </w:rPr>
        <w:t>、对失信主体担任国有企业法定代表人、董事、监事依法予以</w:t>
      </w:r>
      <w:r>
        <w:rPr>
          <w:rFonts w:hint="eastAsia" w:eastAsia="仿宋"/>
          <w:color w:val="000000" w:themeColor="text1"/>
          <w:spacing w:val="0"/>
          <w:w w:val="100"/>
          <w:position w:val="0"/>
          <w:sz w:val="32"/>
          <w:lang w:eastAsia="zh-CN"/>
          <w14:textFill>
            <w14:solidFill>
              <w14:schemeClr w14:val="tx1"/>
            </w14:solidFill>
          </w14:textFill>
        </w:rPr>
        <w:t>限</w:t>
      </w:r>
      <w:r>
        <w:rPr>
          <w:rFonts w:eastAsia="仿宋"/>
          <w:color w:val="000000" w:themeColor="text1"/>
          <w:spacing w:val="0"/>
          <w:w w:val="100"/>
          <w:position w:val="0"/>
          <w:sz w:val="32"/>
          <w14:textFill>
            <w14:solidFill>
              <w14:schemeClr w14:val="tx1"/>
            </w14:solidFill>
          </w14:textFill>
        </w:rPr>
        <w:t>制。</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color w:val="000000" w:themeColor="text1"/>
          <w:sz w:val="32"/>
          <w14:textFill>
            <w14:solidFill>
              <w14:schemeClr w14:val="tx1"/>
            </w14:solidFill>
          </w14:textFill>
        </w:rPr>
      </w:pPr>
      <w:bookmarkStart w:id="19" w:name="bookmark22"/>
      <w:r>
        <w:rPr>
          <w:rFonts w:ascii="Times New Roman" w:hAnsi="Times New Roman" w:eastAsia="仿宋" w:cs="Times New Roman"/>
          <w:color w:val="000000" w:themeColor="text1"/>
          <w:spacing w:val="0"/>
          <w:w w:val="100"/>
          <w:position w:val="0"/>
          <w:sz w:val="32"/>
          <w:szCs w:val="82"/>
          <w14:textFill>
            <w14:solidFill>
              <w14:schemeClr w14:val="tx1"/>
            </w14:solidFill>
          </w14:textFill>
        </w:rPr>
        <w:t>2</w:t>
      </w:r>
      <w:bookmarkEnd w:id="19"/>
      <w:r>
        <w:rPr>
          <w:rFonts w:ascii="Times New Roman" w:hAnsi="Times New Roman" w:eastAsia="仿宋" w:cs="Times New Roman"/>
          <w:color w:val="000000" w:themeColor="text1"/>
          <w:spacing w:val="0"/>
          <w:w w:val="100"/>
          <w:position w:val="0"/>
          <w:sz w:val="32"/>
          <w:szCs w:val="82"/>
          <w14:textFill>
            <w14:solidFill>
              <w14:schemeClr w14:val="tx1"/>
            </w14:solidFill>
          </w14:textFill>
        </w:rPr>
        <w:t>1</w:t>
      </w:r>
      <w:r>
        <w:rPr>
          <w:rFonts w:eastAsia="仿宋"/>
          <w:color w:val="000000" w:themeColor="text1"/>
          <w:spacing w:val="0"/>
          <w:w w:val="100"/>
          <w:position w:val="0"/>
          <w:sz w:val="32"/>
          <w14:textFill>
            <w14:solidFill>
              <w14:schemeClr w14:val="tx1"/>
            </w14:solidFill>
          </w14:textFill>
        </w:rPr>
        <w:t>、对失信主体登记为事业单位法定代表人依法予以限制。</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color w:val="000000" w:themeColor="text1"/>
          <w:sz w:val="32"/>
          <w14:textFill>
            <w14:solidFill>
              <w14:schemeClr w14:val="tx1"/>
            </w14:solidFill>
          </w14:textFill>
        </w:rPr>
      </w:pPr>
      <w:r>
        <w:rPr>
          <w:rFonts w:hint="eastAsia" w:ascii="Times New Roman" w:hAnsi="Times New Roman" w:eastAsia="仿宋" w:cs="Times New Roman"/>
          <w:b w:val="0"/>
          <w:bCs w:val="0"/>
          <w:i w:val="0"/>
          <w:iCs w:val="0"/>
          <w:smallCaps w:val="0"/>
          <w:strike w:val="0"/>
          <w:color w:val="000000" w:themeColor="text1"/>
          <w:spacing w:val="0"/>
          <w:w w:val="100"/>
          <w:position w:val="0"/>
          <w:sz w:val="32"/>
          <w:szCs w:val="82"/>
          <w:lang w:val="en-US" w:eastAsia="zh-CN"/>
          <w14:textFill>
            <w14:solidFill>
              <w14:schemeClr w14:val="tx1"/>
            </w14:solidFill>
          </w14:textFill>
        </w:rPr>
        <w:t>22</w:t>
      </w:r>
      <w:r>
        <w:rPr>
          <w:rFonts w:hint="eastAsia" w:eastAsia="仿宋"/>
          <w:color w:val="000000" w:themeColor="text1"/>
          <w:spacing w:val="0"/>
          <w:w w:val="100"/>
          <w:position w:val="0"/>
          <w:sz w:val="32"/>
          <w:lang w:val="en-US" w:eastAsia="zh-CN"/>
          <w14:textFill>
            <w14:solidFill>
              <w14:schemeClr w14:val="tx1"/>
            </w14:solidFill>
          </w14:textFill>
        </w:rPr>
        <w:t>、</w:t>
      </w:r>
      <w:r>
        <w:rPr>
          <w:rFonts w:eastAsia="仿宋"/>
          <w:color w:val="000000" w:themeColor="text1"/>
          <w:spacing w:val="0"/>
          <w:w w:val="100"/>
          <w:position w:val="0"/>
          <w:sz w:val="32"/>
          <w14:textFill>
            <w14:solidFill>
              <w14:schemeClr w14:val="tx1"/>
            </w14:solidFill>
          </w14:textFill>
        </w:rPr>
        <w:t>对失信主体招录（聘）为公务员或事业单位工作人员依法予以限制。</w:t>
      </w:r>
    </w:p>
    <w:p>
      <w:pPr>
        <w:pStyle w:val="18"/>
        <w:keepNext w:val="0"/>
        <w:keepLines w:val="0"/>
        <w:pageBreakBefore w:val="0"/>
        <w:widowControl w:val="0"/>
        <w:shd w:val="clear" w:color="auto" w:fill="auto"/>
        <w:tabs>
          <w:tab w:val="left" w:pos="3304"/>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color w:val="000000" w:themeColor="text1"/>
          <w:sz w:val="32"/>
          <w14:textFill>
            <w14:solidFill>
              <w14:schemeClr w14:val="tx1"/>
            </w14:solidFill>
          </w14:textFill>
        </w:rPr>
      </w:pPr>
      <w:bookmarkStart w:id="20" w:name="bookmark23"/>
      <w:r>
        <w:rPr>
          <w:rFonts w:ascii="Times New Roman" w:hAnsi="Times New Roman" w:eastAsia="仿宋" w:cs="Times New Roman"/>
          <w:color w:val="000000" w:themeColor="text1"/>
          <w:spacing w:val="0"/>
          <w:w w:val="100"/>
          <w:position w:val="0"/>
          <w:sz w:val="32"/>
          <w:szCs w:val="82"/>
          <w14:textFill>
            <w14:solidFill>
              <w14:schemeClr w14:val="tx1"/>
            </w14:solidFill>
          </w14:textFill>
        </w:rPr>
        <w:t>2</w:t>
      </w:r>
      <w:bookmarkEnd w:id="20"/>
      <w:r>
        <w:rPr>
          <w:rFonts w:ascii="Times New Roman" w:hAnsi="Times New Roman" w:eastAsia="仿宋" w:cs="Times New Roman"/>
          <w:color w:val="000000" w:themeColor="text1"/>
          <w:spacing w:val="0"/>
          <w:w w:val="100"/>
          <w:position w:val="0"/>
          <w:sz w:val="32"/>
          <w:szCs w:val="82"/>
          <w14:textFill>
            <w14:solidFill>
              <w14:schemeClr w14:val="tx1"/>
            </w14:solidFill>
          </w14:textFill>
        </w:rPr>
        <w:t>3</w:t>
      </w:r>
      <w:r>
        <w:rPr>
          <w:rFonts w:eastAsia="仿宋"/>
          <w:color w:val="000000" w:themeColor="text1"/>
          <w:spacing w:val="0"/>
          <w:w w:val="100"/>
          <w:position w:val="0"/>
          <w:sz w:val="32"/>
          <w14:textFill>
            <w14:solidFill>
              <w14:schemeClr w14:val="tx1"/>
            </w14:solidFill>
          </w14:textFill>
        </w:rPr>
        <w:t>、对严重失信的自然人，依法</w:t>
      </w:r>
      <w:r>
        <w:rPr>
          <w:rFonts w:hint="eastAsia" w:eastAsia="仿宋"/>
          <w:color w:val="000000" w:themeColor="text1"/>
          <w:spacing w:val="0"/>
          <w:w w:val="100"/>
          <w:position w:val="0"/>
          <w:sz w:val="32"/>
          <w:lang w:eastAsia="zh-CN"/>
          <w14:textFill>
            <w14:solidFill>
              <w14:schemeClr w14:val="tx1"/>
            </w14:solidFill>
          </w14:textFill>
        </w:rPr>
        <w:t>限</w:t>
      </w:r>
      <w:r>
        <w:rPr>
          <w:rFonts w:eastAsia="仿宋"/>
          <w:color w:val="000000" w:themeColor="text1"/>
          <w:spacing w:val="0"/>
          <w:w w:val="100"/>
          <w:position w:val="0"/>
          <w:sz w:val="32"/>
          <w14:textFill>
            <w14:solidFill>
              <w14:schemeClr w14:val="tx1"/>
            </w14:solidFill>
          </w14:textFill>
        </w:rPr>
        <w:t>制其担任上市公司、债券公司、基金管理公司、期货公司的董事、监事和高级管理人员等，对其证券、基金、期货从业资格申请予以从严审核，对已成为证券、基金、期货从业人员的相关主体予以关注。</w:t>
      </w:r>
    </w:p>
    <w:p>
      <w:pPr>
        <w:pStyle w:val="18"/>
        <w:keepNext w:val="0"/>
        <w:keepLines w:val="0"/>
        <w:pageBreakBefore w:val="0"/>
        <w:widowControl w:val="0"/>
        <w:shd w:val="clear" w:color="auto" w:fill="auto"/>
        <w:tabs>
          <w:tab w:val="left" w:pos="3304"/>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color w:val="000000" w:themeColor="text1"/>
          <w:sz w:val="32"/>
          <w14:textFill>
            <w14:solidFill>
              <w14:schemeClr w14:val="tx1"/>
            </w14:solidFill>
          </w14:textFill>
        </w:rPr>
      </w:pPr>
      <w:bookmarkStart w:id="21" w:name="bookmark24"/>
      <w:r>
        <w:rPr>
          <w:rFonts w:ascii="Times New Roman" w:hAnsi="Times New Roman" w:eastAsia="仿宋" w:cs="Times New Roman"/>
          <w:color w:val="000000" w:themeColor="text1"/>
          <w:spacing w:val="0"/>
          <w:w w:val="100"/>
          <w:position w:val="0"/>
          <w:sz w:val="32"/>
          <w:szCs w:val="82"/>
          <w14:textFill>
            <w14:solidFill>
              <w14:schemeClr w14:val="tx1"/>
            </w14:solidFill>
          </w14:textFill>
        </w:rPr>
        <w:t>2</w:t>
      </w:r>
      <w:bookmarkEnd w:id="21"/>
      <w:r>
        <w:rPr>
          <w:rFonts w:ascii="Times New Roman" w:hAnsi="Times New Roman" w:eastAsia="仿宋" w:cs="Times New Roman"/>
          <w:color w:val="000000" w:themeColor="text1"/>
          <w:spacing w:val="0"/>
          <w:w w:val="100"/>
          <w:position w:val="0"/>
          <w:sz w:val="32"/>
          <w:szCs w:val="82"/>
          <w14:textFill>
            <w14:solidFill>
              <w14:schemeClr w14:val="tx1"/>
            </w14:solidFill>
          </w14:textFill>
        </w:rPr>
        <w:t>4</w:t>
      </w:r>
      <w:r>
        <w:rPr>
          <w:rFonts w:eastAsia="仿宋"/>
          <w:color w:val="000000" w:themeColor="text1"/>
          <w:spacing w:val="0"/>
          <w:w w:val="100"/>
          <w:position w:val="0"/>
          <w:sz w:val="32"/>
          <w14:textFill>
            <w14:solidFill>
              <w14:schemeClr w14:val="tx1"/>
            </w14:solidFill>
          </w14:textFill>
        </w:rPr>
        <w:t>、对失信主体担任保险公司的董事、监事、高级管理人员依法予以限制。</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楷体" w:hAnsi="楷体" w:eastAsia="楷体" w:cs="楷体"/>
          <w:color w:val="000000" w:themeColor="text1"/>
          <w:sz w:val="32"/>
          <w14:textFill>
            <w14:solidFill>
              <w14:schemeClr w14:val="tx1"/>
            </w14:solidFill>
          </w14:textFill>
        </w:rPr>
      </w:pPr>
      <w:bookmarkStart w:id="22" w:name="bookmark25"/>
      <w:r>
        <w:rPr>
          <w:rFonts w:hint="eastAsia" w:ascii="楷体" w:hAnsi="楷体" w:eastAsia="楷体" w:cs="楷体"/>
          <w:color w:val="000000" w:themeColor="text1"/>
          <w:spacing w:val="0"/>
          <w:w w:val="100"/>
          <w:position w:val="0"/>
          <w:sz w:val="32"/>
          <w14:textFill>
            <w14:solidFill>
              <w14:schemeClr w14:val="tx1"/>
            </w14:solidFill>
          </w14:textFill>
        </w:rPr>
        <w:t>（</w:t>
      </w:r>
      <w:bookmarkEnd w:id="22"/>
      <w:r>
        <w:rPr>
          <w:rFonts w:hint="eastAsia" w:ascii="楷体" w:hAnsi="楷体" w:eastAsia="楷体" w:cs="楷体"/>
          <w:color w:val="000000" w:themeColor="text1"/>
          <w:spacing w:val="0"/>
          <w:w w:val="100"/>
          <w:position w:val="0"/>
          <w:sz w:val="32"/>
          <w14:textFill>
            <w14:solidFill>
              <w14:schemeClr w14:val="tx1"/>
            </w14:solidFill>
          </w14:textFill>
        </w:rPr>
        <w:t>五）社会形象方面的惩戒措施</w:t>
      </w:r>
    </w:p>
    <w:p>
      <w:pPr>
        <w:pStyle w:val="18"/>
        <w:keepNext w:val="0"/>
        <w:keepLines w:val="0"/>
        <w:pageBreakBefore w:val="0"/>
        <w:widowControl w:val="0"/>
        <w:shd w:val="clear" w:color="auto" w:fill="auto"/>
        <w:tabs>
          <w:tab w:val="left" w:pos="3304"/>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color w:val="000000" w:themeColor="text1"/>
          <w:sz w:val="32"/>
          <w14:textFill>
            <w14:solidFill>
              <w14:schemeClr w14:val="tx1"/>
            </w14:solidFill>
          </w14:textFill>
        </w:rPr>
      </w:pPr>
      <w:bookmarkStart w:id="23" w:name="bookmark26"/>
      <w:r>
        <w:rPr>
          <w:rFonts w:ascii="Times New Roman" w:hAnsi="Times New Roman" w:eastAsia="仿宋" w:cs="Times New Roman"/>
          <w:color w:val="000000" w:themeColor="text1"/>
          <w:spacing w:val="0"/>
          <w:w w:val="100"/>
          <w:position w:val="0"/>
          <w:sz w:val="32"/>
          <w:szCs w:val="82"/>
          <w14:textFill>
            <w14:solidFill>
              <w14:schemeClr w14:val="tx1"/>
            </w14:solidFill>
          </w14:textFill>
        </w:rPr>
        <w:t>2</w:t>
      </w:r>
      <w:bookmarkEnd w:id="23"/>
      <w:r>
        <w:rPr>
          <w:rFonts w:ascii="Times New Roman" w:hAnsi="Times New Roman" w:eastAsia="仿宋" w:cs="Times New Roman"/>
          <w:color w:val="000000" w:themeColor="text1"/>
          <w:spacing w:val="0"/>
          <w:w w:val="100"/>
          <w:position w:val="0"/>
          <w:sz w:val="32"/>
          <w:szCs w:val="82"/>
          <w14:textFill>
            <w14:solidFill>
              <w14:schemeClr w14:val="tx1"/>
            </w14:solidFill>
          </w14:textFill>
        </w:rPr>
        <w:t>5</w:t>
      </w:r>
      <w:r>
        <w:rPr>
          <w:rFonts w:eastAsia="仿宋"/>
          <w:color w:val="000000" w:themeColor="text1"/>
          <w:spacing w:val="0"/>
          <w:w w:val="100"/>
          <w:position w:val="0"/>
          <w:sz w:val="32"/>
          <w14:textFill>
            <w14:solidFill>
              <w14:schemeClr w14:val="tx1"/>
            </w14:solidFill>
          </w14:textFill>
        </w:rPr>
        <w:t>、通过</w:t>
      </w:r>
      <w:r>
        <w:rPr>
          <w:rFonts w:eastAsia="仿宋"/>
          <w:color w:val="000000" w:themeColor="text1"/>
          <w:spacing w:val="0"/>
          <w:w w:val="100"/>
          <w:position w:val="0"/>
          <w:sz w:val="32"/>
          <w:lang w:val="zh-CN" w:eastAsia="zh-CN" w:bidi="zh-CN"/>
          <w14:textFill>
            <w14:solidFill>
              <w14:schemeClr w14:val="tx1"/>
            </w14:solidFill>
          </w14:textFill>
        </w:rPr>
        <w:t>“信</w:t>
      </w:r>
      <w:r>
        <w:rPr>
          <w:rFonts w:eastAsia="仿宋"/>
          <w:color w:val="000000" w:themeColor="text1"/>
          <w:spacing w:val="0"/>
          <w:w w:val="100"/>
          <w:position w:val="0"/>
          <w:sz w:val="32"/>
          <w14:textFill>
            <w14:solidFill>
              <w14:schemeClr w14:val="tx1"/>
            </w14:solidFill>
          </w14:textFill>
        </w:rPr>
        <w:t>用中国</w:t>
      </w:r>
      <w:r>
        <w:rPr>
          <w:rFonts w:hint="eastAsia" w:eastAsia="仿宋"/>
          <w:color w:val="000000" w:themeColor="text1"/>
          <w:spacing w:val="0"/>
          <w:w w:val="100"/>
          <w:position w:val="0"/>
          <w:sz w:val="32"/>
          <w:lang w:val="en-US" w:eastAsia="zh-CN" w:bidi="en-US"/>
          <w14:textFill>
            <w14:solidFill>
              <w14:schemeClr w14:val="tx1"/>
            </w14:solidFill>
          </w14:textFill>
        </w:rPr>
        <w:t>”、“</w:t>
      </w:r>
      <w:r>
        <w:rPr>
          <w:rFonts w:eastAsia="仿宋"/>
          <w:color w:val="000000" w:themeColor="text1"/>
          <w:spacing w:val="0"/>
          <w:w w:val="100"/>
          <w:position w:val="0"/>
          <w:sz w:val="32"/>
          <w14:textFill>
            <w14:solidFill>
              <w14:schemeClr w14:val="tx1"/>
            </w14:solidFill>
          </w14:textFill>
        </w:rPr>
        <w:t>信用交通”等网站和国家企业信用信息公示系统依法向社会公布失信主体信息。</w:t>
      </w:r>
    </w:p>
    <w:p>
      <w:pPr>
        <w:pStyle w:val="18"/>
        <w:keepNext w:val="0"/>
        <w:keepLines w:val="0"/>
        <w:pageBreakBefore w:val="0"/>
        <w:widowControl w:val="0"/>
        <w:shd w:val="clear" w:color="auto" w:fill="auto"/>
        <w:tabs>
          <w:tab w:val="left" w:pos="3304"/>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color w:val="000000" w:themeColor="text1"/>
          <w:sz w:val="32"/>
          <w14:textFill>
            <w14:solidFill>
              <w14:schemeClr w14:val="tx1"/>
            </w14:solidFill>
          </w14:textFill>
        </w:rPr>
      </w:pPr>
      <w:bookmarkStart w:id="24" w:name="bookmark27"/>
      <w:r>
        <w:rPr>
          <w:rFonts w:ascii="Times New Roman" w:hAnsi="Times New Roman" w:eastAsia="仿宋" w:cs="Times New Roman"/>
          <w:color w:val="000000" w:themeColor="text1"/>
          <w:spacing w:val="0"/>
          <w:w w:val="100"/>
          <w:position w:val="0"/>
          <w:sz w:val="32"/>
          <w:szCs w:val="82"/>
          <w14:textFill>
            <w14:solidFill>
              <w14:schemeClr w14:val="tx1"/>
            </w14:solidFill>
          </w14:textFill>
        </w:rPr>
        <w:t>2</w:t>
      </w:r>
      <w:bookmarkEnd w:id="24"/>
      <w:r>
        <w:rPr>
          <w:rFonts w:ascii="Times New Roman" w:hAnsi="Times New Roman" w:eastAsia="仿宋" w:cs="Times New Roman"/>
          <w:color w:val="000000" w:themeColor="text1"/>
          <w:spacing w:val="0"/>
          <w:w w:val="100"/>
          <w:position w:val="0"/>
          <w:sz w:val="32"/>
          <w:szCs w:val="82"/>
          <w14:textFill>
            <w14:solidFill>
              <w14:schemeClr w14:val="tx1"/>
            </w14:solidFill>
          </w14:textFill>
        </w:rPr>
        <w:t>6</w:t>
      </w:r>
      <w:r>
        <w:rPr>
          <w:rFonts w:eastAsia="仿宋"/>
          <w:color w:val="000000" w:themeColor="text1"/>
          <w:spacing w:val="0"/>
          <w:w w:val="100"/>
          <w:position w:val="0"/>
          <w:sz w:val="32"/>
          <w14:textFill>
            <w14:solidFill>
              <w14:schemeClr w14:val="tx1"/>
            </w14:solidFill>
          </w14:textFill>
        </w:rPr>
        <w:t>、对失信主体参评文明单位、道德模范依法予以限制。</w:t>
      </w:r>
    </w:p>
    <w:p>
      <w:pPr>
        <w:pStyle w:val="18"/>
        <w:keepNext w:val="0"/>
        <w:keepLines w:val="0"/>
        <w:pageBreakBefore w:val="0"/>
        <w:widowControl w:val="0"/>
        <w:shd w:val="clear" w:color="auto" w:fill="auto"/>
        <w:tabs>
          <w:tab w:val="left" w:pos="3304"/>
        </w:tabs>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color w:val="000000" w:themeColor="text1"/>
          <w:sz w:val="32"/>
          <w14:textFill>
            <w14:solidFill>
              <w14:schemeClr w14:val="tx1"/>
            </w14:solidFill>
          </w14:textFill>
        </w:rPr>
      </w:pPr>
      <w:bookmarkStart w:id="25" w:name="bookmark28"/>
      <w:r>
        <w:rPr>
          <w:rFonts w:ascii="Times New Roman" w:hAnsi="Times New Roman" w:eastAsia="仿宋" w:cs="Times New Roman"/>
          <w:color w:val="000000" w:themeColor="text1"/>
          <w:spacing w:val="0"/>
          <w:w w:val="100"/>
          <w:position w:val="0"/>
          <w:sz w:val="32"/>
          <w:szCs w:val="82"/>
          <w14:textFill>
            <w14:solidFill>
              <w14:schemeClr w14:val="tx1"/>
            </w14:solidFill>
          </w14:textFill>
        </w:rPr>
        <w:t>2</w:t>
      </w:r>
      <w:bookmarkEnd w:id="25"/>
      <w:r>
        <w:rPr>
          <w:rFonts w:ascii="Times New Roman" w:hAnsi="Times New Roman" w:eastAsia="仿宋" w:cs="Times New Roman"/>
          <w:color w:val="000000" w:themeColor="text1"/>
          <w:spacing w:val="0"/>
          <w:w w:val="100"/>
          <w:position w:val="0"/>
          <w:sz w:val="32"/>
          <w:szCs w:val="82"/>
          <w14:textFill>
            <w14:solidFill>
              <w14:schemeClr w14:val="tx1"/>
            </w14:solidFill>
          </w14:textFill>
        </w:rPr>
        <w:t>7</w:t>
      </w:r>
      <w:r>
        <w:rPr>
          <w:rFonts w:eastAsia="仿宋"/>
          <w:color w:val="000000" w:themeColor="text1"/>
          <w:spacing w:val="0"/>
          <w:w w:val="100"/>
          <w:position w:val="0"/>
          <w:sz w:val="32"/>
          <w14:textFill>
            <w14:solidFill>
              <w14:schemeClr w14:val="tx1"/>
            </w14:solidFill>
          </w14:textFill>
        </w:rPr>
        <w:t>、行业协会商会对会员失信行为进行警告、通报批评、公开谴责等。</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黑体" w:hAnsi="黑体" w:eastAsia="黑体" w:cs="黑体"/>
          <w:color w:val="000000" w:themeColor="text1"/>
          <w:sz w:val="32"/>
          <w:szCs w:val="80"/>
          <w14:textFill>
            <w14:solidFill>
              <w14:schemeClr w14:val="tx1"/>
            </w14:solidFill>
          </w14:textFill>
        </w:rPr>
      </w:pPr>
      <w:bookmarkStart w:id="26" w:name="bookmark29"/>
      <w:r>
        <w:rPr>
          <w:rFonts w:hint="eastAsia" w:ascii="黑体" w:hAnsi="黑体" w:eastAsia="黑体" w:cs="黑体"/>
          <w:color w:val="000000" w:themeColor="text1"/>
          <w:spacing w:val="0"/>
          <w:w w:val="100"/>
          <w:position w:val="0"/>
          <w:sz w:val="32"/>
          <w:szCs w:val="80"/>
          <w14:textFill>
            <w14:solidFill>
              <w14:schemeClr w14:val="tx1"/>
            </w14:solidFill>
          </w14:textFill>
        </w:rPr>
        <w:t>三</w:t>
      </w:r>
      <w:bookmarkEnd w:id="26"/>
      <w:r>
        <w:rPr>
          <w:rFonts w:hint="eastAsia" w:ascii="黑体" w:hAnsi="黑体" w:eastAsia="黑体" w:cs="黑体"/>
          <w:color w:val="000000" w:themeColor="text1"/>
          <w:spacing w:val="0"/>
          <w:w w:val="100"/>
          <w:position w:val="0"/>
          <w:sz w:val="32"/>
          <w:szCs w:val="80"/>
          <w14:textFill>
            <w14:solidFill>
              <w14:schemeClr w14:val="tx1"/>
            </w14:solidFill>
          </w14:textFill>
        </w:rPr>
        <w:t>、联合惩戒的实施方式</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sz w:val="32"/>
        </w:rPr>
      </w:pPr>
      <w:r>
        <w:rPr>
          <w:rFonts w:eastAsia="仿宋"/>
          <w:color w:val="000000" w:themeColor="text1"/>
          <w:spacing w:val="0"/>
          <w:w w:val="100"/>
          <w:position w:val="0"/>
          <w:sz w:val="32"/>
          <w14:textFill>
            <w14:solidFill>
              <w14:schemeClr w14:val="tx1"/>
            </w14:solidFill>
          </w14:textFill>
        </w:rPr>
        <w:t>（一）国家发展改革委通过全国信用信息共享平台定期向参与</w:t>
      </w:r>
      <w:r>
        <w:rPr>
          <w:rFonts w:eastAsia="仿宋"/>
          <w:color w:val="000000"/>
          <w:spacing w:val="0"/>
          <w:w w:val="100"/>
          <w:position w:val="0"/>
          <w:sz w:val="32"/>
        </w:rPr>
        <w:t>失信联合惩戒的部门和单位提供运输物流行业严重违法失信</w:t>
      </w:r>
      <w:r>
        <w:rPr>
          <w:rFonts w:eastAsia="仿宋"/>
          <w:color w:val="000000"/>
          <w:spacing w:val="0"/>
          <w:w w:val="100"/>
          <w:position w:val="0"/>
          <w:sz w:val="32"/>
          <w:lang w:val="zh-CN" w:eastAsia="zh-CN" w:bidi="zh-CN"/>
        </w:rPr>
        <w:t>“黑名</w:t>
      </w:r>
      <w:r>
        <w:rPr>
          <w:rFonts w:eastAsia="仿宋"/>
          <w:color w:val="000000"/>
          <w:spacing w:val="0"/>
          <w:w w:val="100"/>
          <w:position w:val="0"/>
          <w:sz w:val="32"/>
        </w:rPr>
        <w:t>单”</w:t>
      </w:r>
      <w:r>
        <w:rPr>
          <w:rFonts w:hint="eastAsia" w:eastAsia="仿宋"/>
          <w:color w:val="000000"/>
          <w:spacing w:val="0"/>
          <w:w w:val="100"/>
          <w:position w:val="0"/>
          <w:sz w:val="32"/>
          <w:lang w:eastAsia="zh-CN"/>
        </w:rPr>
        <w:t>。</w:t>
      </w:r>
      <w:r>
        <w:rPr>
          <w:rFonts w:eastAsia="仿宋"/>
          <w:color w:val="000000"/>
          <w:spacing w:val="0"/>
          <w:w w:val="100"/>
          <w:position w:val="0"/>
          <w:sz w:val="32"/>
        </w:rPr>
        <w:t>相关部门根据本备忘录约定的内容对“黑名单”中的失信主体实施惩戒。</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sz w:val="32"/>
        </w:rPr>
      </w:pPr>
      <w:r>
        <w:rPr>
          <w:rFonts w:eastAsia="仿宋"/>
          <w:color w:val="000000"/>
          <w:spacing w:val="0"/>
          <w:w w:val="100"/>
          <w:position w:val="0"/>
          <w:sz w:val="32"/>
        </w:rPr>
        <w:t>（二）逐步建立惩戒效果定期通报机制，有条件的部门定期将联合惩戒实施情况通过全国信用信息共享平台共享。</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sz w:val="32"/>
        </w:rPr>
      </w:pPr>
      <w:r>
        <w:rPr>
          <w:rFonts w:eastAsia="仿宋"/>
          <w:color w:val="000000"/>
          <w:spacing w:val="0"/>
          <w:w w:val="100"/>
          <w:position w:val="0"/>
          <w:sz w:val="32"/>
        </w:rPr>
        <w:t>（三）涉及地方事权的，由签署部门和单位将</w:t>
      </w:r>
      <w:r>
        <w:rPr>
          <w:rFonts w:eastAsia="仿宋"/>
          <w:color w:val="000000"/>
          <w:spacing w:val="0"/>
          <w:w w:val="100"/>
          <w:position w:val="0"/>
          <w:sz w:val="32"/>
          <w:lang w:val="zh-CN" w:eastAsia="zh-CN" w:bidi="zh-CN"/>
        </w:rPr>
        <w:t>“黑</w:t>
      </w:r>
      <w:r>
        <w:rPr>
          <w:rFonts w:eastAsia="仿宋"/>
          <w:color w:val="000000"/>
          <w:spacing w:val="0"/>
          <w:w w:val="100"/>
          <w:position w:val="0"/>
          <w:sz w:val="32"/>
        </w:rPr>
        <w:t>名单”推送给地方相关部门，地方部门按照本备忘录内容实施</w:t>
      </w:r>
      <w:r>
        <w:rPr>
          <w:rFonts w:hint="eastAsia" w:eastAsia="仿宋"/>
          <w:color w:val="000000"/>
          <w:spacing w:val="0"/>
          <w:w w:val="100"/>
          <w:position w:val="0"/>
          <w:sz w:val="32"/>
          <w:lang w:eastAsia="zh-CN"/>
        </w:rPr>
        <w:t>联</w:t>
      </w:r>
      <w:r>
        <w:rPr>
          <w:rFonts w:eastAsia="仿宋"/>
          <w:color w:val="000000"/>
          <w:spacing w:val="0"/>
          <w:w w:val="100"/>
          <w:position w:val="0"/>
          <w:sz w:val="32"/>
        </w:rPr>
        <w:t>合惩戒。</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黑体" w:hAnsi="黑体" w:eastAsia="黑体" w:cs="黑体"/>
          <w:sz w:val="32"/>
          <w:szCs w:val="80"/>
        </w:rPr>
      </w:pPr>
      <w:r>
        <w:rPr>
          <w:rFonts w:hint="eastAsia" w:ascii="黑体" w:hAnsi="黑体" w:eastAsia="黑体" w:cs="黑体"/>
          <w:color w:val="000000"/>
          <w:spacing w:val="0"/>
          <w:w w:val="100"/>
          <w:position w:val="0"/>
          <w:sz w:val="32"/>
          <w:szCs w:val="80"/>
        </w:rPr>
        <w:t>四、联合惩戒的动态管理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sz w:val="32"/>
        </w:rPr>
      </w:pPr>
      <w:r>
        <w:rPr>
          <w:rFonts w:eastAsia="仿宋"/>
          <w:color w:val="000000"/>
          <w:spacing w:val="0"/>
          <w:w w:val="100"/>
          <w:position w:val="0"/>
          <w:sz w:val="32"/>
        </w:rPr>
        <w:t>有关部门按照职责分别对运输物流行业严重违法失信</w:t>
      </w:r>
      <w:r>
        <w:rPr>
          <w:rFonts w:eastAsia="仿宋"/>
          <w:color w:val="000000"/>
          <w:spacing w:val="0"/>
          <w:w w:val="100"/>
          <w:position w:val="0"/>
          <w:sz w:val="32"/>
          <w:lang w:val="zh-CN" w:eastAsia="zh-CN" w:bidi="zh-CN"/>
        </w:rPr>
        <w:t>“黑</w:t>
      </w:r>
      <w:r>
        <w:rPr>
          <w:rFonts w:eastAsia="仿宋"/>
          <w:color w:val="000000"/>
          <w:spacing w:val="0"/>
          <w:w w:val="100"/>
          <w:position w:val="0"/>
          <w:sz w:val="32"/>
        </w:rPr>
        <w:t>名单”进行动态管理，及时更新相关信息，并定期推送至国家发展改革委。同时，将相关信息在全国信用信息共享平台及时更新，并开放平台授权供部门共享使用。对于从</w:t>
      </w:r>
      <w:r>
        <w:rPr>
          <w:rFonts w:eastAsia="仿宋"/>
          <w:color w:val="000000"/>
          <w:spacing w:val="0"/>
          <w:w w:val="100"/>
          <w:position w:val="0"/>
          <w:sz w:val="32"/>
          <w:lang w:val="zh-CN" w:eastAsia="zh-CN" w:bidi="zh-CN"/>
        </w:rPr>
        <w:t>“黑</w:t>
      </w:r>
      <w:r>
        <w:rPr>
          <w:rFonts w:eastAsia="仿宋"/>
          <w:color w:val="000000"/>
          <w:spacing w:val="0"/>
          <w:w w:val="100"/>
          <w:position w:val="0"/>
          <w:sz w:val="32"/>
        </w:rPr>
        <w:t>名单”中移除的市场主体及其有关人员，相关部门应及时停止实施联合惩戒措施。</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hint="eastAsia" w:ascii="黑体" w:hAnsi="黑体" w:eastAsia="黑体" w:cs="黑体"/>
          <w:sz w:val="32"/>
          <w:szCs w:val="80"/>
        </w:rPr>
      </w:pPr>
      <w:r>
        <w:rPr>
          <w:rFonts w:hint="eastAsia" w:ascii="黑体" w:hAnsi="黑体" w:eastAsia="黑体" w:cs="黑体"/>
          <w:color w:val="000000"/>
          <w:spacing w:val="0"/>
          <w:w w:val="100"/>
          <w:position w:val="0"/>
          <w:sz w:val="32"/>
          <w:szCs w:val="80"/>
        </w:rPr>
        <w:t>五、其他事宜</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sz w:val="32"/>
        </w:rPr>
      </w:pPr>
      <w:r>
        <w:rPr>
          <w:rFonts w:eastAsia="仿宋"/>
          <w:color w:val="000000"/>
          <w:spacing w:val="0"/>
          <w:w w:val="100"/>
          <w:position w:val="0"/>
          <w:sz w:val="32"/>
        </w:rPr>
        <w:t>各部门应密切协作，积极落实本备忘录，制定运输物流行业严重违法失信市场主体及其有关人员信用信息使用、管理、监督的相关实施细则和操作流程，指导本系统各级单位依法依规实施联合惩戒措施。</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sz w:val="32"/>
        </w:rPr>
      </w:pPr>
      <w:r>
        <w:rPr>
          <w:rFonts w:eastAsia="仿宋"/>
          <w:color w:val="000000"/>
          <w:spacing w:val="0"/>
          <w:w w:val="100"/>
          <w:position w:val="0"/>
          <w:sz w:val="32"/>
        </w:rPr>
        <w:t>本备忘录实施过程中出现的问题，由国家发展改革委组织协商解决。</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sz w:val="32"/>
        </w:rPr>
      </w:pPr>
      <w:r>
        <w:rPr>
          <w:rFonts w:eastAsia="仿宋"/>
          <w:color w:val="000000"/>
          <w:spacing w:val="0"/>
          <w:w w:val="100"/>
          <w:position w:val="0"/>
          <w:sz w:val="32"/>
        </w:rPr>
        <w:t>本备忘录签署后，各项惩戒措施依据的法律、法规、规章及规范性文件有修改或调整的，以修改后的为准。</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640" w:firstLineChars="200"/>
        <w:jc w:val="both"/>
        <w:textAlignment w:val="auto"/>
        <w:outlineLvl w:val="9"/>
        <w:rPr>
          <w:rFonts w:eastAsia="仿宋"/>
          <w:color w:val="000000"/>
          <w:spacing w:val="0"/>
          <w:w w:val="100"/>
          <w:position w:val="0"/>
          <w:sz w:val="32"/>
        </w:rPr>
      </w:pPr>
      <w:r>
        <w:rPr>
          <w:rFonts w:eastAsia="仿宋"/>
          <w:color w:val="000000"/>
          <w:spacing w:val="0"/>
          <w:w w:val="100"/>
          <w:position w:val="0"/>
          <w:sz w:val="32"/>
        </w:rPr>
        <w:t>附录：</w:t>
      </w:r>
      <w:r>
        <w:rPr>
          <w:rFonts w:hint="eastAsia" w:ascii="Times New Roman" w:hAnsi="Times New Roman" w:eastAsia="仿宋" w:cs="Times New Roman"/>
          <w:color w:val="000000"/>
          <w:spacing w:val="0"/>
          <w:w w:val="100"/>
          <w:position w:val="0"/>
          <w:sz w:val="32"/>
          <w:szCs w:val="82"/>
          <w:lang w:val="en-US" w:eastAsia="zh-CN" w:bidi="zh-CN"/>
        </w:rPr>
        <w:t>1</w:t>
      </w:r>
      <w:r>
        <w:rPr>
          <w:rFonts w:hint="eastAsia" w:eastAsia="仿宋"/>
          <w:color w:val="000000"/>
          <w:spacing w:val="0"/>
          <w:w w:val="100"/>
          <w:position w:val="0"/>
          <w:sz w:val="32"/>
          <w:lang w:val="en-US" w:eastAsia="zh-CN"/>
        </w:rPr>
        <w:t>.</w:t>
      </w:r>
      <w:r>
        <w:rPr>
          <w:rFonts w:eastAsia="仿宋"/>
          <w:color w:val="000000"/>
          <w:spacing w:val="0"/>
          <w:w w:val="100"/>
          <w:position w:val="0"/>
          <w:sz w:val="32"/>
        </w:rPr>
        <w:t>物流服务平台加强信用建设实施联合惩戒备忘录</w:t>
      </w:r>
    </w:p>
    <w:p>
      <w:pPr>
        <w:pStyle w:val="18"/>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1600" w:firstLineChars="500"/>
        <w:jc w:val="both"/>
        <w:textAlignment w:val="auto"/>
        <w:outlineLvl w:val="9"/>
        <w:rPr>
          <w:rFonts w:eastAsia="仿宋"/>
          <w:color w:val="000000"/>
          <w:spacing w:val="0"/>
          <w:w w:val="100"/>
          <w:position w:val="0"/>
          <w:sz w:val="32"/>
        </w:rPr>
      </w:pPr>
      <w:r>
        <w:rPr>
          <w:rFonts w:hint="eastAsia" w:ascii="Times New Roman" w:hAnsi="Times New Roman" w:eastAsia="仿宋" w:cs="Times New Roman"/>
          <w:color w:val="000000"/>
          <w:spacing w:val="0"/>
          <w:w w:val="100"/>
          <w:position w:val="0"/>
          <w:sz w:val="32"/>
          <w:szCs w:val="82"/>
          <w:lang w:val="en-US" w:eastAsia="zh-CN" w:bidi="zh-CN"/>
        </w:rPr>
        <w:t>2</w:t>
      </w:r>
      <w:r>
        <w:rPr>
          <w:rFonts w:hint="eastAsia" w:ascii="宋体" w:hAnsi="宋体" w:eastAsia="宋体" w:cs="宋体"/>
          <w:color w:val="000000"/>
          <w:spacing w:val="0"/>
          <w:w w:val="100"/>
          <w:position w:val="0"/>
          <w:sz w:val="32"/>
          <w:szCs w:val="82"/>
          <w:lang w:val="en-US" w:eastAsia="zh-CN" w:bidi="zh-CN"/>
        </w:rPr>
        <w:t>.</w:t>
      </w:r>
      <w:r>
        <w:rPr>
          <w:rFonts w:eastAsia="仿宋"/>
          <w:color w:val="000000"/>
          <w:spacing w:val="0"/>
          <w:w w:val="100"/>
          <w:position w:val="0"/>
          <w:sz w:val="32"/>
        </w:rPr>
        <w:t>惩戒措施法律及政策依据</w:t>
      </w:r>
    </w:p>
    <w:p>
      <w:pPr>
        <w:pStyle w:val="30"/>
        <w:keepNext w:val="0"/>
        <w:keepLines w:val="0"/>
        <w:widowControl w:val="0"/>
        <w:shd w:val="clear" w:color="auto" w:fill="auto"/>
        <w:bidi w:val="0"/>
        <w:spacing w:before="320" w:after="240" w:line="240" w:lineRule="auto"/>
        <w:ind w:left="0" w:right="0" w:firstLine="0"/>
        <w:jc w:val="left"/>
        <w:rPr>
          <w:color w:val="000000"/>
          <w:spacing w:val="0"/>
          <w:w w:val="100"/>
          <w:position w:val="0"/>
          <w:sz w:val="30"/>
          <w:szCs w:val="30"/>
        </w:rPr>
      </w:pP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color w:val="000000" w:themeColor="text1"/>
          <w:spacing w:val="0"/>
          <w:w w:val="100"/>
          <w:position w:val="0"/>
          <w:sz w:val="30"/>
          <w:szCs w:val="30"/>
          <w:lang w:eastAsia="zh-CN"/>
          <w14:textFill>
            <w14:solidFill>
              <w14:schemeClr w14:val="tx1"/>
            </w14:solidFill>
          </w14:textFill>
        </w:rPr>
      </w:pP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color w:val="000000" w:themeColor="text1"/>
          <w:spacing w:val="0"/>
          <w:w w:val="100"/>
          <w:position w:val="0"/>
          <w:sz w:val="30"/>
          <w:szCs w:val="30"/>
          <w:lang w:eastAsia="zh-CN"/>
          <w14:textFill>
            <w14:solidFill>
              <w14:schemeClr w14:val="tx1"/>
            </w14:solidFill>
          </w14:textFill>
        </w:rPr>
      </w:pP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color w:val="000000" w:themeColor="text1"/>
          <w:spacing w:val="0"/>
          <w:w w:val="100"/>
          <w:position w:val="0"/>
          <w:sz w:val="30"/>
          <w:szCs w:val="30"/>
          <w:lang w:eastAsia="zh-CN"/>
          <w14:textFill>
            <w14:solidFill>
              <w14:schemeClr w14:val="tx1"/>
            </w14:solidFill>
          </w14:textFill>
        </w:rPr>
      </w:pP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color w:val="000000" w:themeColor="text1"/>
          <w:spacing w:val="0"/>
          <w:w w:val="100"/>
          <w:position w:val="0"/>
          <w:sz w:val="30"/>
          <w:szCs w:val="30"/>
          <w:lang w:eastAsia="zh-CN"/>
          <w14:textFill>
            <w14:solidFill>
              <w14:schemeClr w14:val="tx1"/>
            </w14:solidFill>
          </w14:textFill>
        </w:rPr>
      </w:pP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color w:val="000000" w:themeColor="text1"/>
          <w:spacing w:val="0"/>
          <w:w w:val="100"/>
          <w:position w:val="0"/>
          <w:sz w:val="30"/>
          <w:szCs w:val="30"/>
          <w:lang w:eastAsia="zh-CN"/>
          <w14:textFill>
            <w14:solidFill>
              <w14:schemeClr w14:val="tx1"/>
            </w14:solidFill>
          </w14:textFill>
        </w:rPr>
      </w:pP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color w:val="000000" w:themeColor="text1"/>
          <w:spacing w:val="0"/>
          <w:w w:val="100"/>
          <w:position w:val="0"/>
          <w:sz w:val="30"/>
          <w:szCs w:val="30"/>
          <w:lang w:eastAsia="zh-CN"/>
          <w14:textFill>
            <w14:solidFill>
              <w14:schemeClr w14:val="tx1"/>
            </w14:solidFill>
          </w14:textFill>
        </w:rPr>
      </w:pP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color w:val="000000" w:themeColor="text1"/>
          <w:spacing w:val="0"/>
          <w:w w:val="100"/>
          <w:position w:val="0"/>
          <w:sz w:val="30"/>
          <w:szCs w:val="30"/>
          <w:lang w:eastAsia="zh-CN"/>
          <w14:textFill>
            <w14:solidFill>
              <w14:schemeClr w14:val="tx1"/>
            </w14:solidFill>
          </w14:textFill>
        </w:rPr>
      </w:pP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color w:val="000000" w:themeColor="text1"/>
          <w:spacing w:val="0"/>
          <w:w w:val="100"/>
          <w:position w:val="0"/>
          <w:sz w:val="30"/>
          <w:szCs w:val="30"/>
          <w:lang w:eastAsia="zh-CN"/>
          <w14:textFill>
            <w14:solidFill>
              <w14:schemeClr w14:val="tx1"/>
            </w14:solidFill>
          </w14:textFill>
        </w:rPr>
      </w:pP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color w:val="000000" w:themeColor="text1"/>
          <w:spacing w:val="0"/>
          <w:w w:val="100"/>
          <w:position w:val="0"/>
          <w:sz w:val="30"/>
          <w:szCs w:val="30"/>
          <w:lang w:eastAsia="zh-CN"/>
          <w14:textFill>
            <w14:solidFill>
              <w14:schemeClr w14:val="tx1"/>
            </w14:solidFill>
          </w14:textFill>
        </w:rPr>
      </w:pP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color w:val="000000" w:themeColor="text1"/>
          <w:spacing w:val="0"/>
          <w:w w:val="100"/>
          <w:position w:val="0"/>
          <w:sz w:val="30"/>
          <w:szCs w:val="30"/>
          <w:lang w:eastAsia="zh-CN"/>
          <w14:textFill>
            <w14:solidFill>
              <w14:schemeClr w14:val="tx1"/>
            </w14:solidFill>
          </w14:textFill>
        </w:rPr>
      </w:pP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color w:val="000000" w:themeColor="text1"/>
          <w:spacing w:val="0"/>
          <w:w w:val="100"/>
          <w:position w:val="0"/>
          <w:sz w:val="30"/>
          <w:szCs w:val="30"/>
          <w:lang w:eastAsia="zh-CN"/>
          <w14:textFill>
            <w14:solidFill>
              <w14:schemeClr w14:val="tx1"/>
            </w14:solidFill>
          </w14:textFill>
        </w:rPr>
      </w:pP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color w:val="000000" w:themeColor="text1"/>
          <w:spacing w:val="0"/>
          <w:w w:val="100"/>
          <w:position w:val="0"/>
          <w:sz w:val="30"/>
          <w:szCs w:val="30"/>
          <w:lang w:eastAsia="zh-CN"/>
          <w14:textFill>
            <w14:solidFill>
              <w14:schemeClr w14:val="tx1"/>
            </w14:solidFill>
          </w14:textFill>
        </w:rPr>
      </w:pP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both"/>
        <w:textAlignment w:val="auto"/>
        <w:rPr>
          <w:rFonts w:hint="eastAsia"/>
          <w:color w:val="000000" w:themeColor="text1"/>
          <w:spacing w:val="0"/>
          <w:w w:val="100"/>
          <w:position w:val="0"/>
          <w:sz w:val="30"/>
          <w:szCs w:val="30"/>
          <w:lang w:eastAsia="zh-CN"/>
          <w14:textFill>
            <w14:solidFill>
              <w14:schemeClr w14:val="tx1"/>
            </w14:solidFill>
          </w14:textFill>
        </w:rPr>
      </w:pPr>
    </w:p>
    <w:p>
      <w:pPr>
        <w:bidi w:val="0"/>
        <w:rPr>
          <w:rFonts w:hint="eastAsia" w:ascii="仿宋" w:hAnsi="仿宋" w:eastAsia="仿宋" w:cs="仿宋"/>
          <w:sz w:val="32"/>
          <w:szCs w:val="32"/>
          <w:lang w:val="en-US" w:eastAsia="zh-CN"/>
        </w:rPr>
      </w:pPr>
      <w:r>
        <w:rPr>
          <w:rFonts w:hint="eastAsia" w:ascii="仿宋" w:hAnsi="仿宋" w:eastAsia="仿宋" w:cs="仿宋"/>
          <w:sz w:val="32"/>
          <w:szCs w:val="32"/>
          <w:lang w:eastAsia="zh-CN"/>
        </w:rPr>
        <w:t>附录</w:t>
      </w:r>
      <w:r>
        <w:rPr>
          <w:rFonts w:hint="eastAsia" w:ascii="仿宋" w:hAnsi="仿宋" w:eastAsia="仿宋" w:cs="仿宋"/>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before="0" w:after="0" w:line="60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bookmarkStart w:id="27" w:name="bookmark104"/>
      <w:bookmarkStart w:id="28" w:name="bookmark106"/>
      <w:bookmarkStart w:id="29" w:name="bookmark105"/>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物流服务平台加强信用建设</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br w:type="textWrapping"/>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实施联合惩戒备忘录</w:t>
      </w:r>
      <w:bookmarkEnd w:id="27"/>
      <w:bookmarkEnd w:id="28"/>
      <w:bookmarkEnd w:id="29"/>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为贯彻落实《国务院关于印发社会信用体系建设规划纲要</w:t>
      </w:r>
      <w:r>
        <w:rPr>
          <w:rFonts w:hint="eastAsia" w:ascii="仿宋" w:hAnsi="仿宋" w:eastAsia="仿宋" w:cs="仿宋"/>
          <w:color w:val="000000" w:themeColor="text1"/>
          <w:sz w:val="32"/>
          <w:szCs w:val="32"/>
          <w:lang w:val="en-US" w:eastAsia="en-US"/>
          <w14:textFill>
            <w14:solidFill>
              <w14:schemeClr w14:val="tx1"/>
            </w14:solidFill>
          </w14:textFill>
        </w:rPr>
        <w:t>(2014-2020</w:t>
      </w:r>
      <w:r>
        <w:rPr>
          <w:rFonts w:hint="eastAsia" w:ascii="仿宋" w:hAnsi="仿宋" w:eastAsia="仿宋" w:cs="仿宋"/>
          <w:color w:val="000000" w:themeColor="text1"/>
          <w:sz w:val="32"/>
          <w:szCs w:val="32"/>
          <w14:textFill>
            <w14:solidFill>
              <w14:schemeClr w14:val="tx1"/>
            </w14:solidFill>
          </w14:textFill>
        </w:rPr>
        <w:t>年)的通知》、《国务院关于建立完善守信联合激励和失信联合惩戒制度加快推进社会诚信建设的指导意见》和国家发展改革委等七部门《关于我国物流业信用体系建设的指导意见》，充分发挥行业性、社会性约束和惩戒作用，在全国现代物流工作部际联席会议指导下，中国物流与采购联合会组织23家国内重点物流服务平台，就加强信用建设实施联合惩戒达成一致意见，决定联合签署备忘录并釆取一致行动如下：</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主动承担社会责任。</w:t>
      </w:r>
      <w:r>
        <w:rPr>
          <w:rFonts w:hint="eastAsia" w:ascii="仿宋" w:hAnsi="仿宋" w:eastAsia="仿宋" w:cs="仿宋"/>
          <w:color w:val="000000" w:themeColor="text1"/>
          <w:sz w:val="32"/>
          <w:szCs w:val="32"/>
          <w14:textFill>
            <w14:solidFill>
              <w14:schemeClr w14:val="tx1"/>
            </w14:solidFill>
          </w14:textFill>
        </w:rPr>
        <w:t>信用建设是物流业健康有序发展的基础。物流服务平台集聚了数百万家物流企业和丰富的数据等资源,是行业信用建设的重要力量。签署平台要充分发挥用户规模巨大、应用场景丰富、技术手段先进的优势，加大信用建设投入，完善信用评价体系，积极参与信用试点示范，努力为运输物流行业信用体系建设贡献力量。</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600" w:lineRule="exact"/>
        <w:ind w:left="0" w:lef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积极履行自律义务。</w:t>
      </w:r>
      <w:r>
        <w:rPr>
          <w:rFonts w:hint="eastAsia" w:ascii="仿宋" w:hAnsi="仿宋" w:eastAsia="仿宋" w:cs="仿宋"/>
          <w:color w:val="000000" w:themeColor="text1"/>
          <w:sz w:val="32"/>
          <w:szCs w:val="32"/>
          <w14:textFill>
            <w14:solidFill>
              <w14:schemeClr w14:val="tx1"/>
            </w14:solidFill>
          </w14:textFill>
        </w:rPr>
        <w:t>自律是加强信用建设的前提。签署平台要恪守</w:t>
      </w:r>
      <w:r>
        <w:rPr>
          <w:rFonts w:hint="eastAsia" w:ascii="仿宋" w:hAnsi="仿宋" w:eastAsia="仿宋" w:cs="仿宋"/>
          <w:color w:val="000000" w:themeColor="text1"/>
          <w:sz w:val="32"/>
          <w:szCs w:val="32"/>
          <w:lang w:val="zh-CN" w:eastAsia="zh-CN"/>
          <w14:textFill>
            <w14:solidFill>
              <w14:schemeClr w14:val="tx1"/>
            </w14:solidFill>
          </w14:textFill>
        </w:rPr>
        <w:t>“诚</w:t>
      </w:r>
      <w:r>
        <w:rPr>
          <w:rFonts w:hint="eastAsia" w:ascii="仿宋" w:hAnsi="仿宋" w:eastAsia="仿宋" w:cs="仿宋"/>
          <w:color w:val="000000" w:themeColor="text1"/>
          <w:sz w:val="32"/>
          <w:szCs w:val="32"/>
          <w14:textFill>
            <w14:solidFill>
              <w14:schemeClr w14:val="tx1"/>
            </w14:solidFill>
          </w14:textFill>
        </w:rPr>
        <w:t>信为本</w:t>
      </w:r>
      <w:r>
        <w:rPr>
          <w:rFonts w:hint="eastAsia" w:ascii="仿宋" w:hAnsi="仿宋" w:eastAsia="仿宋" w:cs="仿宋"/>
          <w:color w:val="000000" w:themeColor="text1"/>
          <w:sz w:val="32"/>
          <w:szCs w:val="32"/>
          <w:lang w:val="zh-CN" w:eastAsia="zh-CN"/>
          <w14:textFill>
            <w14:solidFill>
              <w14:schemeClr w14:val="tx1"/>
            </w14:solidFill>
          </w14:textFill>
        </w:rPr>
        <w:t>”的</w:t>
      </w:r>
      <w:r>
        <w:rPr>
          <w:rFonts w:hint="eastAsia" w:ascii="仿宋" w:hAnsi="仿宋" w:eastAsia="仿宋" w:cs="仿宋"/>
          <w:color w:val="000000" w:themeColor="text1"/>
          <w:sz w:val="32"/>
          <w:szCs w:val="32"/>
          <w14:textFill>
            <w14:solidFill>
              <w14:schemeClr w14:val="tx1"/>
            </w14:solidFill>
          </w14:textFill>
        </w:rPr>
        <w:t>理念，严格遵守国家法律法规，规范经营、文明服务，做诚信经营的模范。</w:t>
      </w:r>
    </w:p>
    <w:p>
      <w:pPr>
        <w:keepNext w:val="0"/>
        <w:keepLines w:val="0"/>
        <w:pageBreakBefore w:val="0"/>
        <w:widowControl w:val="0"/>
        <w:numPr>
          <w:ilvl w:val="0"/>
          <w:numId w:val="2"/>
        </w:numPr>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强化行业自律，自觉维护市场秩序，坚决抵制恶性竞争</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bookmarkStart w:id="30" w:name="bookmark110"/>
      <w:r>
        <w:rPr>
          <w:rFonts w:hint="eastAsia" w:ascii="仿宋" w:hAnsi="仿宋" w:eastAsia="仿宋" w:cs="仿宋"/>
          <w:color w:val="000000" w:themeColor="text1"/>
          <w:sz w:val="32"/>
          <w:szCs w:val="32"/>
          <w14:textFill>
            <w14:solidFill>
              <w14:schemeClr w14:val="tx1"/>
            </w14:solidFill>
          </w14:textFill>
        </w:rPr>
        <w:t>（</w:t>
      </w:r>
      <w:bookmarkEnd w:id="30"/>
      <w:r>
        <w:rPr>
          <w:rFonts w:hint="eastAsia" w:ascii="仿宋" w:hAnsi="仿宋" w:eastAsia="仿宋" w:cs="仿宋"/>
          <w:color w:val="000000" w:themeColor="text1"/>
          <w:sz w:val="32"/>
          <w:szCs w:val="32"/>
          <w14:textFill>
            <w14:solidFill>
              <w14:schemeClr w14:val="tx1"/>
            </w14:solidFill>
          </w14:textFill>
        </w:rPr>
        <w:t>二）坚持客观、公正、公平的原则，严守商业信誉，维护交易各方的正当权利。</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bookmarkStart w:id="31" w:name="bookmark111"/>
      <w:r>
        <w:rPr>
          <w:rFonts w:hint="eastAsia" w:ascii="仿宋" w:hAnsi="仿宋" w:eastAsia="仿宋" w:cs="仿宋"/>
          <w:color w:val="000000" w:themeColor="text1"/>
          <w:sz w:val="32"/>
          <w:szCs w:val="32"/>
          <w14:textFill>
            <w14:solidFill>
              <w14:schemeClr w14:val="tx1"/>
            </w14:solidFill>
          </w14:textFill>
        </w:rPr>
        <w:t>（</w:t>
      </w:r>
      <w:bookmarkEnd w:id="31"/>
      <w:r>
        <w:rPr>
          <w:rFonts w:hint="eastAsia" w:ascii="仿宋" w:hAnsi="仿宋" w:eastAsia="仿宋" w:cs="仿宋"/>
          <w:color w:val="000000" w:themeColor="text1"/>
          <w:sz w:val="32"/>
          <w:szCs w:val="32"/>
          <w14:textFill>
            <w14:solidFill>
              <w14:schemeClr w14:val="tx1"/>
            </w14:solidFill>
          </w14:textFill>
        </w:rPr>
        <w:t>三）杜绝虚假承诺，提高服务质量，勇于承担责任。</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bookmarkStart w:id="32" w:name="bookmark112"/>
      <w:r>
        <w:rPr>
          <w:rFonts w:hint="eastAsia" w:ascii="仿宋" w:hAnsi="仿宋" w:eastAsia="仿宋" w:cs="仿宋"/>
          <w:color w:val="000000" w:themeColor="text1"/>
          <w:sz w:val="32"/>
          <w:szCs w:val="32"/>
          <w14:textFill>
            <w14:solidFill>
              <w14:schemeClr w14:val="tx1"/>
            </w14:solidFill>
          </w14:textFill>
        </w:rPr>
        <w:t>（</w:t>
      </w:r>
      <w:bookmarkEnd w:id="32"/>
      <w:r>
        <w:rPr>
          <w:rFonts w:hint="eastAsia" w:ascii="仿宋" w:hAnsi="仿宋" w:eastAsia="仿宋" w:cs="仿宋"/>
          <w:color w:val="000000" w:themeColor="text1"/>
          <w:sz w:val="32"/>
          <w:szCs w:val="32"/>
          <w14:textFill>
            <w14:solidFill>
              <w14:schemeClr w14:val="tx1"/>
            </w14:solidFill>
          </w14:textFill>
        </w:rPr>
        <w:t>四）保证公布信息的合法性、真实性和准确性。</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right="0" w:rightChars="0"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bookmarkStart w:id="33" w:name="bookmark113"/>
      <w:r>
        <w:rPr>
          <w:rFonts w:hint="eastAsia" w:ascii="仿宋" w:hAnsi="仿宋" w:eastAsia="仿宋" w:cs="仿宋"/>
          <w:color w:val="000000" w:themeColor="text1"/>
          <w:sz w:val="32"/>
          <w:szCs w:val="32"/>
          <w14:textFill>
            <w14:solidFill>
              <w14:schemeClr w14:val="tx1"/>
            </w14:solidFill>
          </w14:textFill>
        </w:rPr>
        <w:t>（</w:t>
      </w:r>
      <w:bookmarkEnd w:id="33"/>
      <w:r>
        <w:rPr>
          <w:rFonts w:hint="eastAsia" w:ascii="仿宋" w:hAnsi="仿宋" w:eastAsia="仿宋" w:cs="仿宋"/>
          <w:color w:val="000000" w:themeColor="text1"/>
          <w:sz w:val="32"/>
          <w:szCs w:val="32"/>
          <w14:textFill>
            <w14:solidFill>
              <w14:schemeClr w14:val="tx1"/>
            </w14:solidFill>
          </w14:textFill>
        </w:rPr>
        <w:t>五）自觉接受政府、行业和社会大众的监督。</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bookmarkStart w:id="34" w:name="bookmark114"/>
      <w:r>
        <w:rPr>
          <w:rFonts w:hint="eastAsia" w:ascii="楷体" w:hAnsi="楷体" w:eastAsia="楷体" w:cs="楷体"/>
          <w:color w:val="000000" w:themeColor="text1"/>
          <w:sz w:val="32"/>
          <w:szCs w:val="32"/>
          <w14:textFill>
            <w14:solidFill>
              <w14:schemeClr w14:val="tx1"/>
            </w14:solidFill>
          </w14:textFill>
        </w:rPr>
        <w:t>三</w:t>
      </w:r>
      <w:bookmarkEnd w:id="34"/>
      <w:r>
        <w:rPr>
          <w:rFonts w:hint="eastAsia" w:ascii="楷体" w:hAnsi="楷体" w:eastAsia="楷体" w:cs="楷体"/>
          <w:color w:val="000000" w:themeColor="text1"/>
          <w:sz w:val="32"/>
          <w:szCs w:val="32"/>
          <w14:textFill>
            <w14:solidFill>
              <w14:schemeClr w14:val="tx1"/>
            </w14:solidFill>
          </w14:textFill>
        </w:rPr>
        <w:t>、加强平台信用建设。</w:t>
      </w:r>
      <w:r>
        <w:rPr>
          <w:rFonts w:hint="eastAsia" w:ascii="仿宋" w:hAnsi="仿宋" w:eastAsia="仿宋" w:cs="仿宋"/>
          <w:color w:val="000000" w:themeColor="text1"/>
          <w:sz w:val="32"/>
          <w:szCs w:val="32"/>
          <w14:textFill>
            <w14:solidFill>
              <w14:schemeClr w14:val="tx1"/>
            </w14:solidFill>
          </w14:textFill>
        </w:rPr>
        <w:t>加强信用管理是平台持续健康发展的保证。签署平台要加大建设力度，不断完善功能、丰富内容，进一步提高信用管理水平。</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bookmarkStart w:id="35" w:name="bookmark115"/>
      <w:r>
        <w:rPr>
          <w:rFonts w:hint="eastAsia" w:ascii="仿宋" w:hAnsi="仿宋" w:eastAsia="仿宋" w:cs="仿宋"/>
          <w:color w:val="000000" w:themeColor="text1"/>
          <w:sz w:val="32"/>
          <w:szCs w:val="32"/>
          <w14:textFill>
            <w14:solidFill>
              <w14:schemeClr w14:val="tx1"/>
            </w14:solidFill>
          </w14:textFill>
        </w:rPr>
        <w:t>（</w:t>
      </w:r>
      <w:bookmarkEnd w:id="35"/>
      <w:r>
        <w:rPr>
          <w:rFonts w:hint="eastAsia" w:ascii="仿宋" w:hAnsi="仿宋" w:eastAsia="仿宋" w:cs="仿宋"/>
          <w:color w:val="000000" w:themeColor="text1"/>
          <w:sz w:val="32"/>
          <w:szCs w:val="32"/>
          <w14:textFill>
            <w14:solidFill>
              <w14:schemeClr w14:val="tx1"/>
            </w14:solidFill>
          </w14:textFill>
        </w:rPr>
        <w:t>一）严格平台准入。签署平台要建立明确的准入条件，对申请加入平台的交易方严格实行实名认证，对有不良信用记录的新加入企业和个人予以重点关注。</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bookmarkStart w:id="36" w:name="bookmark116"/>
      <w:r>
        <w:rPr>
          <w:rFonts w:hint="eastAsia" w:ascii="仿宋" w:hAnsi="仿宋" w:eastAsia="仿宋" w:cs="仿宋"/>
          <w:color w:val="000000" w:themeColor="text1"/>
          <w:sz w:val="32"/>
          <w:szCs w:val="32"/>
          <w14:textFill>
            <w14:solidFill>
              <w14:schemeClr w14:val="tx1"/>
            </w14:solidFill>
          </w14:textFill>
        </w:rPr>
        <w:t>（</w:t>
      </w:r>
      <w:bookmarkEnd w:id="36"/>
      <w:r>
        <w:rPr>
          <w:rFonts w:hint="eastAsia" w:ascii="仿宋" w:hAnsi="仿宋" w:eastAsia="仿宋" w:cs="仿宋"/>
          <w:color w:val="000000" w:themeColor="text1"/>
          <w:sz w:val="32"/>
          <w:szCs w:val="32"/>
          <w14:textFill>
            <w14:solidFill>
              <w14:schemeClr w14:val="tx1"/>
            </w14:solidFill>
          </w14:textFill>
        </w:rPr>
        <w:t>二）完善信用记录。对所有平台交易方建立信用档案，全面准确地记录平台上的交易行为和履约情况，形成完善的信用记录。</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bookmarkStart w:id="37" w:name="bookmark117"/>
      <w:r>
        <w:rPr>
          <w:rFonts w:hint="eastAsia" w:ascii="仿宋" w:hAnsi="仿宋" w:eastAsia="仿宋" w:cs="仿宋"/>
          <w:color w:val="000000" w:themeColor="text1"/>
          <w:sz w:val="32"/>
          <w:szCs w:val="32"/>
          <w14:textFill>
            <w14:solidFill>
              <w14:schemeClr w14:val="tx1"/>
            </w14:solidFill>
          </w14:textFill>
        </w:rPr>
        <w:t>（</w:t>
      </w:r>
      <w:bookmarkEnd w:id="37"/>
      <w:r>
        <w:rPr>
          <w:rFonts w:hint="eastAsia" w:ascii="仿宋" w:hAnsi="仿宋" w:eastAsia="仿宋" w:cs="仿宋"/>
          <w:color w:val="000000" w:themeColor="text1"/>
          <w:sz w:val="32"/>
          <w:szCs w:val="32"/>
          <w14:textFill>
            <w14:solidFill>
              <w14:schemeClr w14:val="tx1"/>
            </w14:solidFill>
          </w14:textFill>
        </w:rPr>
        <w:t>三）建立红黑名单制度。进一步完善对平台交易方的信用评价体系，形成信用记录优秀的</w:t>
      </w:r>
      <w:r>
        <w:rPr>
          <w:rFonts w:hint="eastAsia" w:ascii="仿宋" w:hAnsi="仿宋" w:eastAsia="仿宋" w:cs="仿宋"/>
          <w:color w:val="000000" w:themeColor="text1"/>
          <w:sz w:val="32"/>
          <w:szCs w:val="32"/>
          <w:lang w:val="zh-CN" w:eastAsia="zh-CN"/>
          <w14:textFill>
            <w14:solidFill>
              <w14:schemeClr w14:val="tx1"/>
            </w14:solidFill>
          </w14:textFill>
        </w:rPr>
        <w:t>“红名</w:t>
      </w:r>
      <w:r>
        <w:rPr>
          <w:rFonts w:hint="eastAsia" w:ascii="仿宋" w:hAnsi="仿宋" w:eastAsia="仿宋" w:cs="仿宋"/>
          <w:color w:val="000000" w:themeColor="text1"/>
          <w:sz w:val="32"/>
          <w:szCs w:val="32"/>
          <w14:textFill>
            <w14:solidFill>
              <w14:schemeClr w14:val="tx1"/>
            </w14:solidFill>
          </w14:textFill>
        </w:rPr>
        <w:t>单”、具有不良信用记录应予提醒的</w:t>
      </w:r>
      <w:r>
        <w:rPr>
          <w:rFonts w:hint="eastAsia" w:ascii="仿宋" w:hAnsi="仿宋" w:eastAsia="仿宋" w:cs="仿宋"/>
          <w:color w:val="000000" w:themeColor="text1"/>
          <w:sz w:val="32"/>
          <w:szCs w:val="32"/>
          <w:lang w:val="zh-CN" w:eastAsia="zh-CN"/>
          <w14:textFill>
            <w14:solidFill>
              <w14:schemeClr w14:val="tx1"/>
            </w14:solidFill>
          </w14:textFill>
        </w:rPr>
        <w:t>“警示</w:t>
      </w:r>
      <w:r>
        <w:rPr>
          <w:rFonts w:hint="eastAsia" w:ascii="仿宋" w:hAnsi="仿宋" w:eastAsia="仿宋" w:cs="仿宋"/>
          <w:color w:val="000000" w:themeColor="text1"/>
          <w:sz w:val="32"/>
          <w:szCs w:val="32"/>
          <w14:textFill>
            <w14:solidFill>
              <w14:schemeClr w14:val="tx1"/>
            </w14:solidFill>
          </w14:textFill>
        </w:rPr>
        <w:t>名单”和严重违法失信行为</w:t>
      </w:r>
      <w:r>
        <w:rPr>
          <w:rFonts w:hint="eastAsia" w:ascii="仿宋" w:hAnsi="仿宋" w:eastAsia="仿宋" w:cs="仿宋"/>
          <w:color w:val="000000" w:themeColor="text1"/>
          <w:sz w:val="32"/>
          <w:szCs w:val="32"/>
          <w:lang w:val="zh-CN" w:eastAsia="zh-CN"/>
          <w14:textFill>
            <w14:solidFill>
              <w14:schemeClr w14:val="tx1"/>
            </w14:solidFill>
          </w14:textFill>
        </w:rPr>
        <w:t>“黑名</w:t>
      </w:r>
      <w:r>
        <w:rPr>
          <w:rFonts w:hint="eastAsia" w:ascii="仿宋" w:hAnsi="仿宋" w:eastAsia="仿宋" w:cs="仿宋"/>
          <w:color w:val="000000" w:themeColor="text1"/>
          <w:sz w:val="32"/>
          <w:szCs w:val="32"/>
          <w14:textFill>
            <w14:solidFill>
              <w14:schemeClr w14:val="tx1"/>
            </w14:solidFill>
          </w14:textFill>
        </w:rPr>
        <w:t>单”。</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bookmarkStart w:id="38" w:name="bookmark118"/>
      <w:r>
        <w:rPr>
          <w:rFonts w:hint="eastAsia" w:ascii="仿宋" w:hAnsi="仿宋" w:eastAsia="仿宋" w:cs="仿宋"/>
          <w:color w:val="000000" w:themeColor="text1"/>
          <w:sz w:val="32"/>
          <w:szCs w:val="32"/>
          <w14:textFill>
            <w14:solidFill>
              <w14:schemeClr w14:val="tx1"/>
            </w14:solidFill>
          </w14:textFill>
        </w:rPr>
        <w:t>（</w:t>
      </w:r>
      <w:bookmarkEnd w:id="38"/>
      <w:r>
        <w:rPr>
          <w:rFonts w:hint="eastAsia" w:ascii="仿宋" w:hAnsi="仿宋" w:eastAsia="仿宋" w:cs="仿宋"/>
          <w:color w:val="000000" w:themeColor="text1"/>
          <w:sz w:val="32"/>
          <w:szCs w:val="32"/>
          <w14:textFill>
            <w14:solidFill>
              <w14:schemeClr w14:val="tx1"/>
            </w14:solidFill>
          </w14:textFill>
        </w:rPr>
        <w:t>四）建立激励惩戒机制。对“红名单”企业实施激励措施,对</w:t>
      </w:r>
      <w:r>
        <w:rPr>
          <w:rFonts w:hint="eastAsia" w:ascii="仿宋" w:hAnsi="仿宋" w:eastAsia="仿宋" w:cs="仿宋"/>
          <w:color w:val="000000" w:themeColor="text1"/>
          <w:sz w:val="32"/>
          <w:szCs w:val="32"/>
          <w:lang w:val="zh-CN" w:eastAsia="zh-CN"/>
          <w14:textFill>
            <w14:solidFill>
              <w14:schemeClr w14:val="tx1"/>
            </w14:solidFill>
          </w14:textFill>
        </w:rPr>
        <w:t>“警示</w:t>
      </w:r>
      <w:r>
        <w:rPr>
          <w:rFonts w:hint="eastAsia" w:ascii="仿宋" w:hAnsi="仿宋" w:eastAsia="仿宋" w:cs="仿宋"/>
          <w:color w:val="000000" w:themeColor="text1"/>
          <w:sz w:val="32"/>
          <w:szCs w:val="32"/>
          <w14:textFill>
            <w14:solidFill>
              <w14:schemeClr w14:val="tx1"/>
            </w14:solidFill>
          </w14:textFill>
        </w:rPr>
        <w:t>名单”建立警示提醒机制，对</w:t>
      </w:r>
      <w:r>
        <w:rPr>
          <w:rFonts w:hint="eastAsia" w:ascii="仿宋" w:hAnsi="仿宋" w:eastAsia="仿宋" w:cs="仿宋"/>
          <w:color w:val="000000" w:themeColor="text1"/>
          <w:sz w:val="32"/>
          <w:szCs w:val="32"/>
          <w:lang w:val="zh-CN" w:eastAsia="zh-CN"/>
          <w14:textFill>
            <w14:solidFill>
              <w14:schemeClr w14:val="tx1"/>
            </w14:solidFill>
          </w14:textFill>
        </w:rPr>
        <w:t>“黑名</w:t>
      </w:r>
      <w:r>
        <w:rPr>
          <w:rFonts w:hint="eastAsia" w:ascii="仿宋" w:hAnsi="仿宋" w:eastAsia="仿宋" w:cs="仿宋"/>
          <w:color w:val="000000" w:themeColor="text1"/>
          <w:sz w:val="32"/>
          <w:szCs w:val="32"/>
          <w14:textFill>
            <w14:solidFill>
              <w14:schemeClr w14:val="tx1"/>
            </w14:solidFill>
          </w14:textFill>
        </w:rPr>
        <w:t>单”停止提供服务,形成褒扬诚信、惩戒失信的信用环境。</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（五）加强诚信文化宣传。积极向平台交易方宣传</w:t>
      </w:r>
      <w:r>
        <w:rPr>
          <w:rFonts w:hint="eastAsia" w:ascii="仿宋" w:hAnsi="仿宋" w:eastAsia="仿宋" w:cs="仿宋"/>
          <w:color w:val="000000" w:themeColor="text1"/>
          <w:sz w:val="32"/>
          <w:szCs w:val="32"/>
          <w:lang w:val="zh-CN" w:eastAsia="zh-CN"/>
          <w14:textFill>
            <w14:solidFill>
              <w14:schemeClr w14:val="tx1"/>
            </w14:solidFill>
          </w14:textFill>
        </w:rPr>
        <w:t>“诚信</w:t>
      </w:r>
      <w:r>
        <w:rPr>
          <w:rFonts w:hint="eastAsia" w:ascii="仿宋" w:hAnsi="仿宋" w:eastAsia="仿宋" w:cs="仿宋"/>
          <w:color w:val="000000" w:themeColor="text1"/>
          <w:sz w:val="32"/>
          <w:szCs w:val="32"/>
          <w14:textFill>
            <w14:solidFill>
              <w14:schemeClr w14:val="tx1"/>
            </w14:solidFill>
          </w14:textFill>
        </w:rPr>
        <w:t>经营”的理念，在各类协议和合同中增加诚信相关内容，努力提高平台所有交易企业和人员的诚信意识。</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bookmarkStart w:id="39" w:name="bookmark119"/>
      <w:r>
        <w:rPr>
          <w:rFonts w:hint="eastAsia" w:ascii="楷体" w:hAnsi="楷体" w:eastAsia="楷体" w:cs="楷体"/>
          <w:color w:val="000000" w:themeColor="text1"/>
          <w:sz w:val="32"/>
          <w:szCs w:val="32"/>
          <w14:textFill>
            <w14:solidFill>
              <w14:schemeClr w14:val="tx1"/>
            </w14:solidFill>
          </w14:textFill>
        </w:rPr>
        <w:t>四</w:t>
      </w:r>
      <w:bookmarkEnd w:id="39"/>
      <w:r>
        <w:rPr>
          <w:rFonts w:hint="eastAsia" w:ascii="楷体" w:hAnsi="楷体" w:eastAsia="楷体" w:cs="楷体"/>
          <w:color w:val="000000" w:themeColor="text1"/>
          <w:sz w:val="32"/>
          <w:szCs w:val="32"/>
          <w14:textFill>
            <w14:solidFill>
              <w14:schemeClr w14:val="tx1"/>
            </w14:solidFill>
          </w14:textFill>
        </w:rPr>
        <w:t>、实行信用信息共享。</w:t>
      </w:r>
      <w:r>
        <w:rPr>
          <w:rFonts w:hint="eastAsia" w:ascii="仿宋" w:hAnsi="仿宋" w:eastAsia="仿宋" w:cs="仿宋"/>
          <w:color w:val="000000" w:themeColor="text1"/>
          <w:sz w:val="32"/>
          <w:szCs w:val="32"/>
          <w14:textFill>
            <w14:solidFill>
              <w14:schemeClr w14:val="tx1"/>
            </w14:solidFill>
          </w14:textFill>
        </w:rPr>
        <w:t>签署平台要主动加强平台间的互联互通，在行业协会组织下，建立信用信息共享和依法公布机制。</w:t>
      </w:r>
    </w:p>
    <w:p>
      <w:pPr>
        <w:keepNext w:val="0"/>
        <w:keepLines w:val="0"/>
        <w:pageBreakBefore w:val="0"/>
        <w:widowControl w:val="0"/>
        <w:numPr>
          <w:ilvl w:val="0"/>
          <w:numId w:val="3"/>
        </w:numPr>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中</w:t>
      </w:r>
      <w:r>
        <w:rPr>
          <w:rFonts w:hint="eastAsia" w:ascii="仿宋" w:hAnsi="仿宋" w:eastAsia="仿宋" w:cs="仿宋"/>
          <w:color w:val="000000" w:themeColor="text1"/>
          <w:sz w:val="32"/>
          <w:szCs w:val="32"/>
          <w14:textFill>
            <w14:solidFill>
              <w14:schemeClr w14:val="tx1"/>
            </w14:solidFill>
          </w14:textFill>
        </w:rPr>
        <w:t>国物流与采购联合会组织平台企业协商制定</w:t>
      </w:r>
      <w:r>
        <w:rPr>
          <w:rFonts w:hint="eastAsia" w:ascii="仿宋" w:hAnsi="仿宋" w:eastAsia="仿宋" w:cs="仿宋"/>
          <w:color w:val="000000" w:themeColor="text1"/>
          <w:sz w:val="32"/>
          <w:szCs w:val="32"/>
          <w:lang w:val="zh-CN" w:eastAsia="zh-CN"/>
          <w14:textFill>
            <w14:solidFill>
              <w14:schemeClr w14:val="tx1"/>
            </w14:solidFill>
          </w14:textFill>
        </w:rPr>
        <w:t>“黑</w:t>
      </w:r>
      <w:r>
        <w:rPr>
          <w:rFonts w:hint="eastAsia" w:ascii="仿宋" w:hAnsi="仿宋" w:eastAsia="仿宋" w:cs="仿宋"/>
          <w:color w:val="000000" w:themeColor="text1"/>
          <w:sz w:val="32"/>
          <w:szCs w:val="32"/>
          <w14:textFill>
            <w14:solidFill>
              <w14:schemeClr w14:val="tx1"/>
            </w14:solidFill>
          </w14:textFill>
        </w:rPr>
        <w:t>名单”标准和管理办法及共享机制。</w:t>
      </w:r>
      <w:r>
        <w:rPr>
          <w:rFonts w:hint="eastAsia" w:ascii="仿宋" w:hAnsi="仿宋" w:eastAsia="仿宋" w:cs="仿宋"/>
          <w:color w:val="000000" w:themeColor="text1"/>
          <w:sz w:val="32"/>
          <w:szCs w:val="32"/>
          <w:lang w:val="zh-CN" w:eastAsia="zh-CN"/>
          <w14:textFill>
            <w14:solidFill>
              <w14:schemeClr w14:val="tx1"/>
            </w14:solidFill>
          </w14:textFill>
        </w:rPr>
        <w:t>“黑名</w:t>
      </w:r>
      <w:r>
        <w:rPr>
          <w:rFonts w:hint="eastAsia" w:ascii="仿宋" w:hAnsi="仿宋" w:eastAsia="仿宋" w:cs="仿宋"/>
          <w:color w:val="000000" w:themeColor="text1"/>
          <w:sz w:val="32"/>
          <w:szCs w:val="32"/>
          <w14:textFill>
            <w14:solidFill>
              <w14:schemeClr w14:val="tx1"/>
            </w14:solidFill>
          </w14:textFill>
        </w:rPr>
        <w:t>单”信息要包括失信事实、失信主体、企业社会信用代码、个人身份证号码等基本要素</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各平台根据</w:t>
      </w:r>
      <w:r>
        <w:rPr>
          <w:rFonts w:hint="eastAsia" w:ascii="仿宋" w:hAnsi="仿宋" w:eastAsia="仿宋" w:cs="仿宋"/>
          <w:color w:val="000000" w:themeColor="text1"/>
          <w:sz w:val="32"/>
          <w:szCs w:val="32"/>
          <w:lang w:val="zh-CN" w:eastAsia="zh-CN"/>
          <w14:textFill>
            <w14:solidFill>
              <w14:schemeClr w14:val="tx1"/>
            </w14:solidFill>
          </w14:textFill>
        </w:rPr>
        <w:t>“黑</w:t>
      </w:r>
      <w:r>
        <w:rPr>
          <w:rFonts w:hint="eastAsia" w:ascii="仿宋" w:hAnsi="仿宋" w:eastAsia="仿宋" w:cs="仿宋"/>
          <w:color w:val="000000" w:themeColor="text1"/>
          <w:sz w:val="32"/>
          <w:szCs w:val="32"/>
          <w14:textFill>
            <w14:solidFill>
              <w14:schemeClr w14:val="tx1"/>
            </w14:solidFill>
          </w14:textFill>
        </w:rPr>
        <w:t>名单</w:t>
      </w:r>
      <w:r>
        <w:rPr>
          <w:rFonts w:hint="eastAsia" w:ascii="仿宋" w:hAnsi="仿宋" w:eastAsia="仿宋" w:cs="仿宋"/>
          <w:color w:val="000000" w:themeColor="text1"/>
          <w:sz w:val="32"/>
          <w:szCs w:val="32"/>
          <w:lang w:val="zh-CN" w:eastAsia="zh-CN"/>
          <w14:textFill>
            <w14:solidFill>
              <w14:schemeClr w14:val="tx1"/>
            </w14:solidFill>
          </w14:textFill>
        </w:rPr>
        <w:t>”标准</w:t>
      </w:r>
      <w:r>
        <w:rPr>
          <w:rFonts w:hint="eastAsia" w:ascii="仿宋" w:hAnsi="仿宋" w:eastAsia="仿宋" w:cs="仿宋"/>
          <w:color w:val="000000" w:themeColor="text1"/>
          <w:sz w:val="32"/>
          <w:szCs w:val="32"/>
          <w14:textFill>
            <w14:solidFill>
              <w14:schemeClr w14:val="tx1"/>
            </w14:solidFill>
          </w14:textFill>
        </w:rPr>
        <w:t>和共享机制将产生的</w:t>
      </w:r>
      <w:r>
        <w:rPr>
          <w:rFonts w:hint="eastAsia" w:ascii="仿宋" w:hAnsi="仿宋" w:eastAsia="仿宋" w:cs="仿宋"/>
          <w:color w:val="000000" w:themeColor="text1"/>
          <w:sz w:val="32"/>
          <w:szCs w:val="32"/>
          <w:lang w:val="zh-CN" w:eastAsia="zh-CN"/>
          <w14:textFill>
            <w14:solidFill>
              <w14:schemeClr w14:val="tx1"/>
            </w14:solidFill>
          </w14:textFill>
        </w:rPr>
        <w:t>“黑名</w:t>
      </w:r>
      <w:r>
        <w:rPr>
          <w:rFonts w:hint="eastAsia" w:ascii="仿宋" w:hAnsi="仿宋" w:eastAsia="仿宋" w:cs="仿宋"/>
          <w:color w:val="000000" w:themeColor="text1"/>
          <w:sz w:val="32"/>
          <w:szCs w:val="32"/>
          <w14:textFill>
            <w14:solidFill>
              <w14:schemeClr w14:val="tx1"/>
            </w14:solidFill>
          </w14:textFill>
        </w:rPr>
        <w:t>单”在签署平台间充分共享</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中国物流与采购联合会将形成的</w:t>
      </w:r>
      <w:r>
        <w:rPr>
          <w:rFonts w:hint="eastAsia" w:ascii="仿宋" w:hAnsi="仿宋" w:eastAsia="仿宋" w:cs="仿宋"/>
          <w:color w:val="000000" w:themeColor="text1"/>
          <w:sz w:val="32"/>
          <w:szCs w:val="32"/>
          <w:lang w:val="zh-CN" w:eastAsia="zh-CN"/>
          <w14:textFill>
            <w14:solidFill>
              <w14:schemeClr w14:val="tx1"/>
            </w14:solidFill>
          </w14:textFill>
        </w:rPr>
        <w:t>“黑</w:t>
      </w:r>
      <w:r>
        <w:rPr>
          <w:rFonts w:hint="eastAsia" w:ascii="仿宋" w:hAnsi="仿宋" w:eastAsia="仿宋" w:cs="仿宋"/>
          <w:color w:val="000000" w:themeColor="text1"/>
          <w:sz w:val="32"/>
          <w:szCs w:val="32"/>
          <w14:textFill>
            <w14:solidFill>
              <w14:schemeClr w14:val="tx1"/>
            </w14:solidFill>
          </w14:textFill>
        </w:rPr>
        <w:t>名单”定期向全国信用信息共享平台推送，经相关部门认定后列入国家运输物流行业</w:t>
      </w:r>
      <w:r>
        <w:rPr>
          <w:rFonts w:hint="eastAsia" w:ascii="仿宋" w:hAnsi="仿宋" w:eastAsia="仿宋" w:cs="仿宋"/>
          <w:color w:val="000000" w:themeColor="text1"/>
          <w:sz w:val="32"/>
          <w:szCs w:val="32"/>
          <w:lang w:val="zh-CN" w:eastAsia="zh-CN"/>
          <w14:textFill>
            <w14:solidFill>
              <w14:schemeClr w14:val="tx1"/>
            </w14:solidFill>
          </w14:textFill>
        </w:rPr>
        <w:t>“黑名</w:t>
      </w:r>
      <w:r>
        <w:rPr>
          <w:rFonts w:hint="eastAsia" w:ascii="仿宋" w:hAnsi="仿宋" w:eastAsia="仿宋" w:cs="仿宋"/>
          <w:color w:val="000000" w:themeColor="text1"/>
          <w:sz w:val="32"/>
          <w:szCs w:val="32"/>
          <w14:textFill>
            <w14:solidFill>
              <w14:schemeClr w14:val="tx1"/>
            </w14:solidFill>
          </w14:textFill>
        </w:rPr>
        <w:t>单”</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中国物流与采购联合会积极推动全国信用信息共享平台中运输物流领域相关信息，依法依规向签署平台共享</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color w:val="000000" w:themeColor="text1"/>
          <w:spacing w:val="0"/>
          <w:w w:val="100"/>
          <w:position w:val="0"/>
          <w:sz w:val="32"/>
          <w:szCs w:val="32"/>
          <w:lang w:eastAsia="zh-CN"/>
          <w14:textFill>
            <w14:solidFill>
              <w14:schemeClr w14:val="tx1"/>
            </w14:solidFill>
          </w14:textFill>
        </w:rPr>
      </w:pPr>
      <w:r>
        <w:rPr>
          <w:rFonts w:hint="eastAsia" w:ascii="楷体" w:hAnsi="楷体" w:eastAsia="楷体" w:cs="楷体"/>
          <w:color w:val="000000" w:themeColor="text1"/>
          <w:spacing w:val="0"/>
          <w:w w:val="100"/>
          <w:position w:val="0"/>
          <w:sz w:val="32"/>
          <w:szCs w:val="32"/>
          <w14:textFill>
            <w14:solidFill>
              <w14:schemeClr w14:val="tx1"/>
            </w14:solidFill>
          </w14:textFill>
        </w:rPr>
        <w:t>严格实施联合惩戒。</w:t>
      </w:r>
      <w:r>
        <w:rPr>
          <w:rFonts w:hint="eastAsia" w:ascii="仿宋" w:hAnsi="仿宋" w:eastAsia="仿宋" w:cs="仿宋"/>
          <w:color w:val="000000" w:themeColor="text1"/>
          <w:spacing w:val="0"/>
          <w:w w:val="100"/>
          <w:position w:val="0"/>
          <w:sz w:val="32"/>
          <w:szCs w:val="32"/>
          <w14:textFill>
            <w14:solidFill>
              <w14:schemeClr w14:val="tx1"/>
            </w14:solidFill>
          </w14:textFill>
        </w:rPr>
        <w:t>实施联合惩戒是规范市场秩序的</w:t>
      </w:r>
      <w:r>
        <w:rPr>
          <w:rFonts w:hint="eastAsia" w:ascii="仿宋" w:hAnsi="仿宋" w:eastAsia="仿宋" w:cs="仿宋"/>
          <w:color w:val="000000" w:themeColor="text1"/>
          <w:spacing w:val="0"/>
          <w:w w:val="100"/>
          <w:position w:val="0"/>
          <w:sz w:val="32"/>
          <w:szCs w:val="32"/>
          <w:lang w:eastAsia="zh-CN"/>
          <w14:textFill>
            <w14:solidFill>
              <w14:schemeClr w14:val="tx1"/>
            </w14:solidFill>
          </w14:textFill>
        </w:rPr>
        <w:t>有效</w:t>
      </w:r>
      <w:r>
        <w:rPr>
          <w:rFonts w:hint="eastAsia" w:ascii="仿宋" w:hAnsi="仿宋" w:eastAsia="仿宋" w:cs="仿宋"/>
          <w:color w:val="000000" w:themeColor="text1"/>
          <w:spacing w:val="0"/>
          <w:w w:val="100"/>
          <w:position w:val="0"/>
          <w:sz w:val="32"/>
          <w:szCs w:val="32"/>
          <w14:textFill>
            <w14:solidFill>
              <w14:schemeClr w14:val="tx1"/>
            </w14:solidFill>
          </w14:textFill>
        </w:rPr>
        <w:t>措施。签署平台要釆取一致行动，严格实施联合惩戒措施，形成</w:t>
      </w:r>
      <w:r>
        <w:rPr>
          <w:rFonts w:hint="eastAsia" w:ascii="仿宋" w:hAnsi="仿宋" w:eastAsia="仿宋" w:cs="仿宋"/>
          <w:color w:val="000000" w:themeColor="text1"/>
          <w:spacing w:val="0"/>
          <w:w w:val="100"/>
          <w:position w:val="0"/>
          <w:sz w:val="32"/>
          <w:szCs w:val="32"/>
          <w:lang w:eastAsia="zh-CN"/>
          <w14:textFill>
            <w14:solidFill>
              <w14:schemeClr w14:val="tx1"/>
            </w14:solidFill>
          </w14:textFill>
        </w:rPr>
        <w:t>“一</w:t>
      </w:r>
      <w:r>
        <w:rPr>
          <w:rFonts w:hint="eastAsia" w:ascii="仿宋" w:hAnsi="仿宋" w:eastAsia="仿宋" w:cs="仿宋"/>
          <w:color w:val="000000" w:themeColor="text1"/>
          <w:spacing w:val="0"/>
          <w:w w:val="100"/>
          <w:position w:val="0"/>
          <w:sz w:val="32"/>
          <w:szCs w:val="32"/>
          <w14:textFill>
            <w14:solidFill>
              <w14:schemeClr w14:val="tx1"/>
            </w14:solidFill>
          </w14:textFill>
        </w:rPr>
        <w:t>处失信，处处受限”的氛围</w:t>
      </w:r>
      <w:r>
        <w:rPr>
          <w:rFonts w:hint="eastAsia" w:ascii="仿宋" w:hAnsi="仿宋" w:eastAsia="仿宋" w:cs="仿宋"/>
          <w:color w:val="000000" w:themeColor="text1"/>
          <w:spacing w:val="0"/>
          <w:w w:val="100"/>
          <w:position w:val="0"/>
          <w:sz w:val="32"/>
          <w:szCs w:val="32"/>
          <w:lang w:eastAsia="zh-CN"/>
          <w14:textFill>
            <w14:solidFill>
              <w14:schemeClr w14:val="tx1"/>
            </w14:solidFill>
          </w14:textFill>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color w:val="000000" w:themeColor="text1"/>
          <w:spacing w:val="0"/>
          <w:w w:val="100"/>
          <w:position w:val="0"/>
          <w:sz w:val="32"/>
          <w:szCs w:val="32"/>
          <w14:textFill>
            <w14:solidFill>
              <w14:schemeClr w14:val="tx1"/>
            </w14:solidFill>
          </w14:textFill>
        </w:rPr>
      </w:pPr>
      <w:r>
        <w:rPr>
          <w:rFonts w:hint="eastAsia" w:ascii="仿宋" w:hAnsi="仿宋" w:eastAsia="仿宋" w:cs="仿宋"/>
          <w:color w:val="000000" w:themeColor="text1"/>
          <w:spacing w:val="0"/>
          <w:w w:val="100"/>
          <w:position w:val="0"/>
          <w:sz w:val="32"/>
          <w:szCs w:val="32"/>
          <w:lang w:eastAsia="zh-CN"/>
          <w14:textFill>
            <w14:solidFill>
              <w14:schemeClr w14:val="tx1"/>
            </w14:solidFill>
          </w14:textFill>
        </w:rPr>
        <w:t>（一）</w:t>
      </w:r>
      <w:r>
        <w:rPr>
          <w:rFonts w:hint="eastAsia" w:ascii="仿宋" w:hAnsi="仿宋" w:eastAsia="仿宋" w:cs="仿宋"/>
          <w:color w:val="000000" w:themeColor="text1"/>
          <w:spacing w:val="0"/>
          <w:w w:val="100"/>
          <w:position w:val="0"/>
          <w:sz w:val="32"/>
          <w:szCs w:val="32"/>
          <w14:textFill>
            <w14:solidFill>
              <w14:schemeClr w14:val="tx1"/>
            </w14:solidFill>
          </w14:textFill>
        </w:rPr>
        <w:t>对平台共同产生的</w:t>
      </w:r>
      <w:r>
        <w:rPr>
          <w:rFonts w:hint="eastAsia" w:ascii="仿宋" w:hAnsi="仿宋" w:eastAsia="仿宋" w:cs="仿宋"/>
          <w:color w:val="000000" w:themeColor="text1"/>
          <w:spacing w:val="0"/>
          <w:w w:val="100"/>
          <w:position w:val="0"/>
          <w:sz w:val="32"/>
          <w:szCs w:val="32"/>
          <w:lang w:val="zh-CN" w:eastAsia="zh-CN" w:bidi="zh-CN"/>
          <w14:textFill>
            <w14:solidFill>
              <w14:schemeClr w14:val="tx1"/>
            </w14:solidFill>
          </w14:textFill>
        </w:rPr>
        <w:t>“黑名</w:t>
      </w:r>
      <w:r>
        <w:rPr>
          <w:rFonts w:hint="eastAsia" w:ascii="仿宋" w:hAnsi="仿宋" w:eastAsia="仿宋" w:cs="仿宋"/>
          <w:color w:val="000000" w:themeColor="text1"/>
          <w:spacing w:val="0"/>
          <w:w w:val="100"/>
          <w:position w:val="0"/>
          <w:sz w:val="32"/>
          <w:szCs w:val="32"/>
          <w14:textFill>
            <w14:solidFill>
              <w14:schemeClr w14:val="tx1"/>
            </w14:solidFill>
          </w14:textFill>
        </w:rPr>
        <w:t>单”，签署平台在有效期内</w:t>
      </w:r>
      <w:r>
        <w:rPr>
          <w:rFonts w:hint="eastAsia" w:ascii="仿宋" w:hAnsi="仿宋" w:eastAsia="仿宋" w:cs="仿宋"/>
          <w:color w:val="000000" w:themeColor="text1"/>
          <w:spacing w:val="0"/>
          <w:w w:val="100"/>
          <w:position w:val="0"/>
          <w:sz w:val="32"/>
          <w:szCs w:val="32"/>
          <w:lang w:eastAsia="zh-CN"/>
          <w14:textFill>
            <w14:solidFill>
              <w14:schemeClr w14:val="tx1"/>
            </w14:solidFill>
          </w14:textFill>
        </w:rPr>
        <w:t>停止</w:t>
      </w:r>
      <w:r>
        <w:rPr>
          <w:rFonts w:hint="eastAsia" w:ascii="仿宋" w:hAnsi="仿宋" w:eastAsia="仿宋" w:cs="仿宋"/>
          <w:color w:val="000000" w:themeColor="text1"/>
          <w:spacing w:val="0"/>
          <w:w w:val="100"/>
          <w:position w:val="0"/>
          <w:sz w:val="32"/>
          <w:szCs w:val="32"/>
          <w14:textFill>
            <w14:solidFill>
              <w14:schemeClr w14:val="tx1"/>
            </w14:solidFill>
          </w14:textFill>
        </w:rPr>
        <w:t>对</w:t>
      </w:r>
      <w:r>
        <w:rPr>
          <w:rFonts w:hint="eastAsia" w:ascii="仿宋" w:hAnsi="仿宋" w:eastAsia="仿宋" w:cs="仿宋"/>
          <w:color w:val="000000" w:themeColor="text1"/>
          <w:spacing w:val="0"/>
          <w:w w:val="100"/>
          <w:position w:val="0"/>
          <w:sz w:val="32"/>
          <w:szCs w:val="32"/>
          <w:lang w:val="zh-CN" w:eastAsia="zh-CN" w:bidi="zh-CN"/>
          <w14:textFill>
            <w14:solidFill>
              <w14:schemeClr w14:val="tx1"/>
            </w14:solidFill>
          </w14:textFill>
        </w:rPr>
        <w:t>“黑</w:t>
      </w:r>
      <w:r>
        <w:rPr>
          <w:rFonts w:hint="eastAsia" w:ascii="仿宋" w:hAnsi="仿宋" w:eastAsia="仿宋" w:cs="仿宋"/>
          <w:color w:val="000000" w:themeColor="text1"/>
          <w:spacing w:val="0"/>
          <w:w w:val="100"/>
          <w:position w:val="0"/>
          <w:sz w:val="32"/>
          <w:szCs w:val="32"/>
          <w14:textFill>
            <w14:solidFill>
              <w14:schemeClr w14:val="tx1"/>
            </w14:solidFill>
          </w14:textFill>
        </w:rPr>
        <w:t>名单”内的企业和个人提供服务。</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color w:val="000000" w:themeColor="text1"/>
          <w:spacing w:val="0"/>
          <w:w w:val="100"/>
          <w:position w:val="0"/>
          <w:sz w:val="32"/>
          <w:szCs w:val="32"/>
          <w:lang w:eastAsia="zh-CN"/>
          <w14:textFill>
            <w14:solidFill>
              <w14:schemeClr w14:val="tx1"/>
            </w14:solidFill>
          </w14:textFill>
        </w:rPr>
      </w:pPr>
      <w:r>
        <w:rPr>
          <w:rFonts w:hint="eastAsia" w:ascii="仿宋" w:hAnsi="仿宋" w:eastAsia="仿宋" w:cs="仿宋"/>
          <w:color w:val="000000" w:themeColor="text1"/>
          <w:spacing w:val="0"/>
          <w:w w:val="100"/>
          <w:position w:val="0"/>
          <w:sz w:val="32"/>
          <w:szCs w:val="32"/>
          <w:lang w:eastAsia="zh-CN"/>
          <w14:textFill>
            <w14:solidFill>
              <w14:schemeClr w14:val="tx1"/>
            </w14:solidFill>
          </w14:textFill>
        </w:rPr>
        <w:t>（二）</w:t>
      </w:r>
      <w:r>
        <w:rPr>
          <w:rFonts w:hint="eastAsia" w:ascii="仿宋" w:hAnsi="仿宋" w:eastAsia="仿宋" w:cs="仿宋"/>
          <w:color w:val="000000" w:themeColor="text1"/>
          <w:spacing w:val="0"/>
          <w:w w:val="100"/>
          <w:position w:val="0"/>
          <w:sz w:val="32"/>
          <w:szCs w:val="32"/>
          <w14:textFill>
            <w14:solidFill>
              <w14:schemeClr w14:val="tx1"/>
            </w14:solidFill>
          </w14:textFill>
        </w:rPr>
        <w:t>对国家运输物流行业</w:t>
      </w:r>
      <w:r>
        <w:rPr>
          <w:rFonts w:hint="eastAsia" w:ascii="仿宋" w:hAnsi="仿宋" w:eastAsia="仿宋" w:cs="仿宋"/>
          <w:color w:val="000000" w:themeColor="text1"/>
          <w:spacing w:val="0"/>
          <w:w w:val="100"/>
          <w:position w:val="0"/>
          <w:sz w:val="32"/>
          <w:szCs w:val="32"/>
          <w:lang w:val="zh-CN" w:eastAsia="zh-CN" w:bidi="zh-CN"/>
          <w14:textFill>
            <w14:solidFill>
              <w14:schemeClr w14:val="tx1"/>
            </w14:solidFill>
          </w14:textFill>
        </w:rPr>
        <w:t>“黑名</w:t>
      </w:r>
      <w:r>
        <w:rPr>
          <w:rFonts w:hint="eastAsia" w:ascii="仿宋" w:hAnsi="仿宋" w:eastAsia="仿宋" w:cs="仿宋"/>
          <w:color w:val="000000" w:themeColor="text1"/>
          <w:spacing w:val="0"/>
          <w:w w:val="100"/>
          <w:position w:val="0"/>
          <w:sz w:val="32"/>
          <w:szCs w:val="32"/>
          <w14:textFill>
            <w14:solidFill>
              <w14:schemeClr w14:val="tx1"/>
            </w14:solidFill>
          </w14:textFill>
        </w:rPr>
        <w:t>单”，签署平台予以重点</w:t>
      </w:r>
      <w:r>
        <w:rPr>
          <w:rFonts w:hint="eastAsia" w:ascii="仿宋" w:hAnsi="仿宋" w:eastAsia="仿宋" w:cs="仿宋"/>
          <w:color w:val="000000" w:themeColor="text1"/>
          <w:spacing w:val="0"/>
          <w:w w:val="100"/>
          <w:position w:val="0"/>
          <w:sz w:val="32"/>
          <w:szCs w:val="32"/>
          <w:lang w:eastAsia="zh-CN"/>
          <w14:textFill>
            <w14:solidFill>
              <w14:schemeClr w14:val="tx1"/>
            </w14:solidFill>
          </w14:textFill>
        </w:rPr>
        <w:t>关注，</w:t>
      </w:r>
      <w:r>
        <w:rPr>
          <w:rFonts w:hint="eastAsia" w:ascii="仿宋" w:hAnsi="仿宋" w:eastAsia="仿宋" w:cs="仿宋"/>
          <w:color w:val="000000" w:themeColor="text1"/>
          <w:spacing w:val="0"/>
          <w:w w:val="100"/>
          <w:position w:val="0"/>
          <w:sz w:val="32"/>
          <w:szCs w:val="32"/>
          <w14:textFill>
            <w14:solidFill>
              <w14:schemeClr w14:val="tx1"/>
            </w14:solidFill>
          </w14:textFill>
        </w:rPr>
        <w:t>进行警示提醒或采取必要的限制措施。</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color w:val="000000" w:themeColor="text1"/>
          <w:spacing w:val="0"/>
          <w:w w:val="100"/>
          <w:position w:val="0"/>
          <w:sz w:val="32"/>
          <w:szCs w:val="32"/>
          <w:lang w:eastAsia="zh-CN"/>
          <w14:textFill>
            <w14:solidFill>
              <w14:schemeClr w14:val="tx1"/>
            </w14:solidFill>
          </w14:textFill>
        </w:rPr>
      </w:pPr>
      <w:r>
        <w:rPr>
          <w:rFonts w:hint="eastAsia" w:ascii="仿宋" w:hAnsi="仿宋" w:eastAsia="仿宋" w:cs="仿宋"/>
          <w:color w:val="000000" w:themeColor="text1"/>
          <w:spacing w:val="0"/>
          <w:w w:val="100"/>
          <w:position w:val="0"/>
          <w:sz w:val="32"/>
          <w:szCs w:val="32"/>
          <w:lang w:eastAsia="zh-CN"/>
          <w14:textFill>
            <w14:solidFill>
              <w14:schemeClr w14:val="tx1"/>
            </w14:solidFill>
          </w14:textFill>
        </w:rPr>
        <w:t>（三）</w:t>
      </w:r>
      <w:r>
        <w:rPr>
          <w:rFonts w:hint="eastAsia" w:ascii="仿宋" w:hAnsi="仿宋" w:eastAsia="仿宋" w:cs="仿宋"/>
          <w:color w:val="000000" w:themeColor="text1"/>
          <w:spacing w:val="0"/>
          <w:w w:val="100"/>
          <w:position w:val="0"/>
          <w:sz w:val="32"/>
          <w:szCs w:val="32"/>
          <w14:textFill>
            <w14:solidFill>
              <w14:schemeClr w14:val="tx1"/>
            </w14:solidFill>
          </w14:textFill>
        </w:rPr>
        <w:t>鼓励平台之间开展合作，对</w:t>
      </w:r>
      <w:r>
        <w:rPr>
          <w:rFonts w:hint="eastAsia" w:ascii="仿宋" w:hAnsi="仿宋" w:eastAsia="仿宋" w:cs="仿宋"/>
          <w:color w:val="000000" w:themeColor="text1"/>
          <w:spacing w:val="0"/>
          <w:w w:val="100"/>
          <w:position w:val="0"/>
          <w:sz w:val="32"/>
          <w:szCs w:val="32"/>
          <w:lang w:val="zh-CN" w:eastAsia="zh-CN" w:bidi="zh-CN"/>
          <w14:textFill>
            <w14:solidFill>
              <w14:schemeClr w14:val="tx1"/>
            </w14:solidFill>
          </w14:textFill>
        </w:rPr>
        <w:t>“警示</w:t>
      </w:r>
      <w:r>
        <w:rPr>
          <w:rFonts w:hint="eastAsia" w:ascii="仿宋" w:hAnsi="仿宋" w:eastAsia="仿宋" w:cs="仿宋"/>
          <w:color w:val="000000" w:themeColor="text1"/>
          <w:spacing w:val="0"/>
          <w:w w:val="100"/>
          <w:position w:val="0"/>
          <w:sz w:val="32"/>
          <w:szCs w:val="32"/>
          <w14:textFill>
            <w14:solidFill>
              <w14:schemeClr w14:val="tx1"/>
            </w14:solidFill>
          </w14:textFill>
        </w:rPr>
        <w:t>名单”采取降低信</w:t>
      </w:r>
      <w:r>
        <w:rPr>
          <w:rFonts w:hint="eastAsia" w:ascii="仿宋" w:hAnsi="仿宋" w:eastAsia="仿宋" w:cs="仿宋"/>
          <w:color w:val="000000" w:themeColor="text1"/>
          <w:spacing w:val="0"/>
          <w:w w:val="100"/>
          <w:position w:val="0"/>
          <w:sz w:val="32"/>
          <w:szCs w:val="32"/>
          <w:lang w:eastAsia="zh-CN"/>
          <w14:textFill>
            <w14:solidFill>
              <w14:schemeClr w14:val="tx1"/>
            </w14:solidFill>
          </w14:textFill>
        </w:rPr>
        <w:t>用</w:t>
      </w:r>
      <w:r>
        <w:rPr>
          <w:rFonts w:hint="eastAsia" w:ascii="仿宋" w:hAnsi="仿宋" w:eastAsia="仿宋" w:cs="仿宋"/>
          <w:color w:val="000000" w:themeColor="text1"/>
          <w:spacing w:val="0"/>
          <w:w w:val="100"/>
          <w:position w:val="0"/>
          <w:sz w:val="32"/>
          <w:szCs w:val="32"/>
          <w14:textFill>
            <w14:solidFill>
              <w14:schemeClr w14:val="tx1"/>
            </w14:solidFill>
          </w14:textFill>
        </w:rPr>
        <w:t>等级等联合惩戒措施</w:t>
      </w:r>
      <w:r>
        <w:rPr>
          <w:rFonts w:hint="eastAsia" w:ascii="仿宋" w:hAnsi="仿宋" w:eastAsia="仿宋" w:cs="仿宋"/>
          <w:color w:val="000000" w:themeColor="text1"/>
          <w:spacing w:val="0"/>
          <w:w w:val="100"/>
          <w:position w:val="0"/>
          <w:sz w:val="32"/>
          <w:szCs w:val="32"/>
          <w:lang w:eastAsia="zh-CN"/>
          <w14:textFill>
            <w14:solidFill>
              <w14:schemeClr w14:val="tx1"/>
            </w14:solidFill>
          </w14:textFill>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color w:val="000000" w:themeColor="text1"/>
          <w:spacing w:val="0"/>
          <w:w w:val="100"/>
          <w:position w:val="0"/>
          <w:sz w:val="32"/>
          <w:szCs w:val="32"/>
          <w:lang w:eastAsia="zh-CN"/>
          <w14:textFill>
            <w14:solidFill>
              <w14:schemeClr w14:val="tx1"/>
            </w14:solidFill>
          </w14:textFill>
        </w:rPr>
      </w:pPr>
      <w:r>
        <w:rPr>
          <w:rFonts w:hint="eastAsia" w:ascii="仿宋" w:hAnsi="仿宋" w:eastAsia="仿宋" w:cs="仿宋"/>
          <w:color w:val="000000" w:themeColor="text1"/>
          <w:spacing w:val="0"/>
          <w:w w:val="100"/>
          <w:position w:val="0"/>
          <w:sz w:val="32"/>
          <w:szCs w:val="32"/>
          <w:lang w:eastAsia="zh-CN"/>
          <w14:textFill>
            <w14:solidFill>
              <w14:schemeClr w14:val="tx1"/>
            </w14:solidFill>
          </w14:textFill>
        </w:rPr>
        <w:t>（四）</w:t>
      </w:r>
      <w:r>
        <w:rPr>
          <w:rFonts w:hint="eastAsia" w:ascii="仿宋" w:hAnsi="仿宋" w:eastAsia="仿宋" w:cs="仿宋"/>
          <w:color w:val="000000" w:themeColor="text1"/>
          <w:spacing w:val="0"/>
          <w:w w:val="100"/>
          <w:position w:val="0"/>
          <w:sz w:val="32"/>
          <w:szCs w:val="32"/>
          <w14:textFill>
            <w14:solidFill>
              <w14:schemeClr w14:val="tx1"/>
            </w14:solidFill>
          </w14:textFill>
        </w:rPr>
        <w:t>签署平台要将对“黑名单”实施的惩戒措施定期反馈给中国物流与采购联合会</w:t>
      </w:r>
      <w:r>
        <w:rPr>
          <w:rFonts w:hint="eastAsia" w:ascii="仿宋" w:hAnsi="仿宋" w:eastAsia="仿宋" w:cs="仿宋"/>
          <w:color w:val="000000" w:themeColor="text1"/>
          <w:spacing w:val="0"/>
          <w:w w:val="100"/>
          <w:position w:val="0"/>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600" w:lineRule="exact"/>
        <w:ind w:leftChars="0" w:right="0" w:rightChars="0"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楷体" w:hAnsi="楷体" w:eastAsia="楷体" w:cs="楷体"/>
          <w:color w:val="000000" w:themeColor="text1"/>
          <w:sz w:val="32"/>
          <w:szCs w:val="32"/>
          <w:lang w:eastAsia="zh-CN"/>
          <w14:textFill>
            <w14:solidFill>
              <w14:schemeClr w14:val="tx1"/>
            </w14:solidFill>
          </w14:textFill>
        </w:rPr>
        <w:t>六、</w:t>
      </w:r>
      <w:r>
        <w:rPr>
          <w:rFonts w:hint="eastAsia" w:ascii="楷体" w:hAnsi="楷体" w:eastAsia="楷体" w:cs="楷体"/>
          <w:color w:val="000000" w:themeColor="text1"/>
          <w:sz w:val="32"/>
          <w:szCs w:val="32"/>
          <w14:textFill>
            <w14:solidFill>
              <w14:schemeClr w14:val="tx1"/>
            </w14:solidFill>
          </w14:textFill>
        </w:rPr>
        <w:t>充分发挥协会作用。</w:t>
      </w:r>
      <w:r>
        <w:rPr>
          <w:rFonts w:hint="eastAsia" w:ascii="仿宋" w:hAnsi="仿宋" w:eastAsia="仿宋" w:cs="仿宋"/>
          <w:color w:val="000000" w:themeColor="text1"/>
          <w:sz w:val="32"/>
          <w:szCs w:val="32"/>
          <w14:textFill>
            <w14:solidFill>
              <w14:schemeClr w14:val="tx1"/>
            </w14:solidFill>
          </w14:textFill>
        </w:rPr>
        <w:t>中国物流与采购联合会要充分发挥行业中介作用，组织平台加强沟通交流，形成信用建设合力，建立长效合作机制</w:t>
      </w:r>
      <w:r>
        <w:rPr>
          <w:rFonts w:hint="eastAsia" w:ascii="仿宋" w:hAnsi="仿宋" w:eastAsia="仿宋"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color w:val="000000" w:themeColor="text1"/>
          <w:sz w:val="32"/>
          <w:szCs w:val="32"/>
          <w:lang w:eastAsia="zh-CN"/>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监督签署平台严格执行备忘录条款，建立信用建设季度报告制度，定期通报执行情况。</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bookmarkStart w:id="40" w:name="bookmark120"/>
      <w:r>
        <w:rPr>
          <w:rFonts w:hint="eastAsia" w:ascii="仿宋" w:hAnsi="仿宋" w:eastAsia="仿宋" w:cs="仿宋"/>
          <w:color w:val="000000" w:themeColor="text1"/>
          <w:sz w:val="32"/>
          <w:szCs w:val="32"/>
          <w14:textFill>
            <w14:solidFill>
              <w14:schemeClr w14:val="tx1"/>
            </w14:solidFill>
          </w14:textFill>
        </w:rPr>
        <w:t>（</w:t>
      </w:r>
      <w:bookmarkEnd w:id="40"/>
      <w:r>
        <w:rPr>
          <w:rFonts w:hint="eastAsia" w:ascii="仿宋" w:hAnsi="仿宋" w:eastAsia="仿宋" w:cs="仿宋"/>
          <w:color w:val="000000" w:themeColor="text1"/>
          <w:sz w:val="32"/>
          <w:szCs w:val="32"/>
          <w14:textFill>
            <w14:solidFill>
              <w14:schemeClr w14:val="tx1"/>
            </w14:solidFill>
          </w14:textFill>
        </w:rPr>
        <w:t>二）对违反备忘录相关条款的平台予以警示提醒，督促整改</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对严重违反备忘录内容的平台给予通报，经其他签署企业一致同意后停止其备忘录签署成员资格，并建议将其列入国家运输物流行业</w:t>
      </w:r>
      <w:r>
        <w:rPr>
          <w:rFonts w:hint="eastAsia" w:ascii="仿宋" w:hAnsi="仿宋" w:eastAsia="仿宋" w:cs="仿宋"/>
          <w:color w:val="000000" w:themeColor="text1"/>
          <w:sz w:val="32"/>
          <w:szCs w:val="32"/>
          <w:lang w:val="zh-CN" w:eastAsia="zh-CN"/>
          <w14:textFill>
            <w14:solidFill>
              <w14:schemeClr w14:val="tx1"/>
            </w14:solidFill>
          </w14:textFill>
        </w:rPr>
        <w:t>“黑名</w:t>
      </w:r>
      <w:r>
        <w:rPr>
          <w:rFonts w:hint="eastAsia" w:ascii="仿宋" w:hAnsi="仿宋" w:eastAsia="仿宋" w:cs="仿宋"/>
          <w:color w:val="000000" w:themeColor="text1"/>
          <w:sz w:val="32"/>
          <w:szCs w:val="32"/>
          <w14:textFill>
            <w14:solidFill>
              <w14:schemeClr w14:val="tx1"/>
            </w14:solidFill>
          </w14:textFill>
        </w:rPr>
        <w:t>单”。</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bookmarkStart w:id="41" w:name="bookmark121"/>
      <w:r>
        <w:rPr>
          <w:rFonts w:hint="eastAsia" w:ascii="仿宋" w:hAnsi="仿宋" w:eastAsia="仿宋" w:cs="仿宋"/>
          <w:color w:val="000000" w:themeColor="text1"/>
          <w:sz w:val="32"/>
          <w:szCs w:val="32"/>
          <w14:textFill>
            <w14:solidFill>
              <w14:schemeClr w14:val="tx1"/>
            </w14:solidFill>
          </w14:textFill>
        </w:rPr>
        <w:t>（</w:t>
      </w:r>
      <w:bookmarkEnd w:id="41"/>
      <w:r>
        <w:rPr>
          <w:rFonts w:hint="eastAsia" w:ascii="仿宋" w:hAnsi="仿宋" w:eastAsia="仿宋" w:cs="仿宋"/>
          <w:color w:val="000000" w:themeColor="text1"/>
          <w:sz w:val="32"/>
          <w:szCs w:val="32"/>
          <w14:textFill>
            <w14:solidFill>
              <w14:schemeClr w14:val="tx1"/>
            </w14:solidFill>
          </w14:textFill>
        </w:rPr>
        <w:t>三）组织签署平台开展各类交流和宣传活动，广聚共识，提升备忘录签署平台的凝聚力。</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bookmarkStart w:id="42" w:name="bookmark122"/>
      <w:r>
        <w:rPr>
          <w:rFonts w:hint="eastAsia" w:ascii="仿宋" w:hAnsi="仿宋" w:eastAsia="仿宋" w:cs="仿宋"/>
          <w:color w:val="000000" w:themeColor="text1"/>
          <w:sz w:val="32"/>
          <w:szCs w:val="32"/>
          <w14:textFill>
            <w14:solidFill>
              <w14:schemeClr w14:val="tx1"/>
            </w14:solidFill>
          </w14:textFill>
        </w:rPr>
        <w:t>（</w:t>
      </w:r>
      <w:bookmarkEnd w:id="42"/>
      <w:r>
        <w:rPr>
          <w:rFonts w:hint="eastAsia" w:ascii="仿宋" w:hAnsi="仿宋" w:eastAsia="仿宋" w:cs="仿宋"/>
          <w:color w:val="000000" w:themeColor="text1"/>
          <w:sz w:val="32"/>
          <w:szCs w:val="32"/>
          <w14:textFill>
            <w14:solidFill>
              <w14:schemeClr w14:val="tx1"/>
            </w14:solidFill>
          </w14:textFill>
        </w:rPr>
        <w:t>四）搭建政府与企业之间的桥梁，组织落实相关政策措施</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积极向政府部门反映平台诉求，提出意见建议。</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签署企业名单（按首字母排序）: </w:t>
      </w:r>
    </w:p>
    <w:p>
      <w:pPr>
        <w:keepNext w:val="0"/>
        <w:keepLines w:val="0"/>
        <w:pageBreakBefore w:val="0"/>
        <w:widowControl w:val="0"/>
        <w:kinsoku/>
        <w:wordWrap/>
        <w:overflowPunct/>
        <w:topLinePunct w:val="0"/>
        <w:autoSpaceDE/>
        <w:autoSpaceDN/>
        <w:bidi w:val="0"/>
        <w:adjustRightInd/>
        <w:snapToGrid/>
        <w:spacing w:before="0" w:after="0" w:line="600" w:lineRule="exact"/>
        <w:ind w:firstLine="640" w:firstLineChars="200"/>
        <w:jc w:val="both"/>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安徽共生物流科技有限公司，北京速派得物流信息技术有限公司，北京京津港国际物流有限公司，北京运科网络科技有限公司， 广东林安物流发展有限公司，广州依时货拉拉科技有限公司，贵阳货车帮科技有限公司，杭州传化货嘀科技有限公司，好多车联（深圳）科技有限公司，合肥维天运通信息科技股份有限公司，湖南天骄物流信息科技有限公司，江苏零浩网络科技有限公司，江苏满运软件科技有限公司，江西万佶物流有限公司，南京福佑在线电子商务有限公司，上海卡行天下供应链管理有限公司，上海天地汇供应链管理有限公司，深圳市国网物流信息有限公司，天津五八到家生活服务有限公司，武汉物易云通网络科技有限公司，驿路星辰（北京）科技有</w:t>
      </w:r>
      <w:bookmarkStart w:id="92" w:name="_GoBack"/>
      <w:bookmarkEnd w:id="92"/>
      <w:r>
        <w:rPr>
          <w:rFonts w:hint="eastAsia" w:ascii="仿宋" w:hAnsi="仿宋" w:eastAsia="仿宋" w:cs="仿宋"/>
          <w:color w:val="000000" w:themeColor="text1"/>
          <w:sz w:val="32"/>
          <w:szCs w:val="32"/>
          <w14:textFill>
            <w14:solidFill>
              <w14:schemeClr w14:val="tx1"/>
            </w14:solidFill>
          </w14:textFill>
        </w:rPr>
        <w:t>限公司，郑州金色马甲电子商务有限公司，中储南京智慧物流科技有限公司。</w:t>
      </w:r>
    </w:p>
    <w:p>
      <w:pPr>
        <w:bidi w:val="0"/>
        <w:jc w:val="both"/>
        <w:rPr>
          <w:rFonts w:hint="eastAsia" w:ascii="仿宋" w:hAnsi="仿宋" w:eastAsia="仿宋" w:cs="仿宋"/>
          <w:sz w:val="32"/>
          <w:szCs w:val="32"/>
        </w:rPr>
      </w:pPr>
    </w:p>
    <w:p>
      <w:pPr>
        <w:pStyle w:val="18"/>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600" w:lineRule="exact"/>
        <w:ind w:right="0" w:rightChars="0"/>
        <w:jc w:val="both"/>
        <w:textAlignment w:val="auto"/>
        <w:outlineLvl w:val="9"/>
        <w:rPr>
          <w:rFonts w:eastAsia="仿宋"/>
          <w:color w:val="000000"/>
          <w:spacing w:val="0"/>
          <w:w w:val="100"/>
          <w:position w:val="0"/>
          <w:sz w:val="32"/>
        </w:rPr>
        <w:sectPr>
          <w:footerReference r:id="rId7" w:type="first"/>
          <w:footerReference r:id="rId5" w:type="default"/>
          <w:footerReference r:id="rId6" w:type="even"/>
          <w:footnotePr>
            <w:numFmt w:val="decimal"/>
          </w:footnotePr>
          <w:pgSz w:w="11850" w:h="16783"/>
          <w:pgMar w:top="1871" w:right="1417" w:bottom="1871" w:left="1417" w:header="0" w:footer="3" w:gutter="0"/>
          <w:pgNumType w:start="9"/>
          <w:cols w:space="720" w:num="1"/>
          <w:titlePg/>
          <w:rtlGutter w:val="0"/>
          <w:docGrid w:linePitch="360" w:charSpace="0"/>
        </w:sectPr>
      </w:pPr>
    </w:p>
    <w:p>
      <w:pPr>
        <w:pStyle w:val="30"/>
        <w:keepNext w:val="0"/>
        <w:keepLines w:val="0"/>
        <w:widowControl w:val="0"/>
        <w:shd w:val="clear" w:color="auto" w:fill="auto"/>
        <w:bidi w:val="0"/>
        <w:spacing w:before="320" w:after="240" w:line="240" w:lineRule="auto"/>
        <w:ind w:left="0" w:right="0" w:firstLine="0"/>
        <w:jc w:val="left"/>
        <w:rPr>
          <w:rFonts w:hint="eastAsia"/>
          <w:color w:val="000000"/>
          <w:spacing w:val="0"/>
          <w:w w:val="100"/>
          <w:position w:val="0"/>
          <w:sz w:val="30"/>
          <w:szCs w:val="30"/>
          <w:lang w:eastAsia="zh-CN"/>
        </w:rPr>
      </w:pPr>
      <w:r>
        <w:rPr>
          <w:color w:val="000000"/>
          <w:spacing w:val="0"/>
          <w:w w:val="100"/>
          <w:position w:val="0"/>
          <w:sz w:val="30"/>
          <w:szCs w:val="30"/>
        </w:rPr>
        <w:t>附</w:t>
      </w:r>
      <w:r>
        <w:rPr>
          <w:rFonts w:hint="eastAsia"/>
          <w:color w:val="000000"/>
          <w:spacing w:val="0"/>
          <w:w w:val="100"/>
          <w:position w:val="0"/>
          <w:sz w:val="30"/>
          <w:szCs w:val="30"/>
          <w:lang w:eastAsia="zh-CN"/>
        </w:rPr>
        <w:t>录</w:t>
      </w:r>
      <w:r>
        <w:rPr>
          <w:rFonts w:hint="eastAsia"/>
          <w:color w:val="000000"/>
          <w:spacing w:val="0"/>
          <w:w w:val="100"/>
          <w:position w:val="0"/>
          <w:sz w:val="30"/>
          <w:szCs w:val="30"/>
          <w:lang w:val="en-US" w:eastAsia="zh-CN"/>
        </w:rPr>
        <w:t>1</w:t>
      </w:r>
      <w:r>
        <w:rPr>
          <w:rFonts w:hint="eastAsia"/>
          <w:color w:val="000000"/>
          <w:spacing w:val="0"/>
          <w:w w:val="100"/>
          <w:position w:val="0"/>
          <w:sz w:val="30"/>
          <w:szCs w:val="30"/>
          <w:lang w:eastAsia="zh-CN"/>
        </w:rPr>
        <w:t>：</w:t>
      </w:r>
    </w:p>
    <w:p>
      <w:pPr>
        <w:pStyle w:val="30"/>
        <w:keepNext w:val="0"/>
        <w:keepLines w:val="0"/>
        <w:widowControl w:val="0"/>
        <w:shd w:val="clear" w:color="auto" w:fill="auto"/>
        <w:bidi w:val="0"/>
        <w:spacing w:before="320" w:after="240" w:line="240" w:lineRule="auto"/>
        <w:ind w:left="0" w:right="0" w:firstLine="0"/>
        <w:jc w:val="center"/>
      </w:pPr>
      <w:r>
        <w:rPr>
          <w:color w:val="000000"/>
          <w:spacing w:val="0"/>
          <w:w w:val="100"/>
          <w:position w:val="0"/>
          <w:sz w:val="36"/>
          <w:szCs w:val="36"/>
        </w:rPr>
        <w:t>惩戒措施法律及政策依据</w:t>
      </w:r>
    </w:p>
    <w:tbl>
      <w:tblPr>
        <w:tblStyle w:val="3"/>
        <w:tblW w:w="0" w:type="auto"/>
        <w:jc w:val="center"/>
        <w:tblLayout w:type="fixed"/>
        <w:tblCellMar>
          <w:top w:w="0" w:type="dxa"/>
          <w:left w:w="10" w:type="dxa"/>
          <w:bottom w:w="0" w:type="dxa"/>
          <w:right w:w="10" w:type="dxa"/>
        </w:tblCellMar>
      </w:tblPr>
      <w:tblGrid>
        <w:gridCol w:w="2205"/>
        <w:gridCol w:w="9400"/>
        <w:gridCol w:w="1893"/>
      </w:tblGrid>
      <w:tr>
        <w:tblPrEx>
          <w:tblCellMar>
            <w:top w:w="0" w:type="dxa"/>
            <w:left w:w="10" w:type="dxa"/>
            <w:bottom w:w="0" w:type="dxa"/>
            <w:right w:w="10" w:type="dxa"/>
          </w:tblCellMar>
        </w:tblPrEx>
        <w:trPr>
          <w:trHeight w:val="346" w:hRule="exact"/>
          <w:jc w:val="center"/>
        </w:trPr>
        <w:tc>
          <w:tcPr>
            <w:tcW w:w="2205" w:type="dxa"/>
            <w:tcBorders>
              <w:top w:val="single" w:color="auto" w:sz="4" w:space="0"/>
              <w:left w:val="single" w:color="auto" w:sz="4" w:space="0"/>
            </w:tcBorders>
            <w:shd w:val="clear" w:color="auto" w:fill="FFFFFF"/>
            <w:vAlign w:val="bottom"/>
          </w:tcPr>
          <w:p>
            <w:pPr>
              <w:pStyle w:val="1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惩戒措施</w:t>
            </w:r>
          </w:p>
        </w:tc>
        <w:tc>
          <w:tcPr>
            <w:tcW w:w="9400" w:type="dxa"/>
            <w:tcBorders>
              <w:top w:val="single" w:color="auto" w:sz="4" w:space="0"/>
              <w:left w:val="single" w:color="auto" w:sz="4" w:space="0"/>
            </w:tcBorders>
            <w:shd w:val="clear" w:color="auto" w:fill="FFFFFF"/>
            <w:vAlign w:val="bottom"/>
          </w:tcPr>
          <w:p>
            <w:pPr>
              <w:pStyle w:val="1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法律及政策依据</w:t>
            </w:r>
          </w:p>
        </w:tc>
        <w:tc>
          <w:tcPr>
            <w:tcW w:w="1893" w:type="dxa"/>
            <w:tcBorders>
              <w:top w:val="single" w:color="auto" w:sz="4" w:space="0"/>
              <w:left w:val="single" w:color="auto" w:sz="4" w:space="0"/>
              <w:right w:val="single" w:color="auto" w:sz="4" w:space="0"/>
            </w:tcBorders>
            <w:shd w:val="clear" w:color="auto" w:fill="FFFFFF"/>
            <w:vAlign w:val="bottom"/>
          </w:tcPr>
          <w:p>
            <w:pPr>
              <w:pStyle w:val="12"/>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实施部门</w:t>
            </w:r>
          </w:p>
        </w:tc>
      </w:tr>
      <w:tr>
        <w:tblPrEx>
          <w:tblCellMar>
            <w:top w:w="0" w:type="dxa"/>
            <w:left w:w="10" w:type="dxa"/>
            <w:bottom w:w="0" w:type="dxa"/>
            <w:right w:w="10" w:type="dxa"/>
          </w:tblCellMar>
        </w:tblPrEx>
        <w:trPr>
          <w:trHeight w:val="6747" w:hRule="exac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317" w:lineRule="exact"/>
              <w:ind w:left="0" w:right="0" w:firstLine="0"/>
              <w:jc w:val="left"/>
              <w:rPr>
                <w:rFonts w:hint="eastAsia" w:eastAsia="宋体"/>
                <w:sz w:val="24"/>
                <w:szCs w:val="24"/>
                <w:lang w:eastAsia="zh-CN"/>
              </w:rPr>
            </w:pPr>
            <w:r>
              <w:rPr>
                <w:rFonts w:ascii="Times New Roman" w:hAnsi="Times New Roman" w:eastAsia="Times New Roman" w:cs="Times New Roman"/>
                <w:b/>
                <w:bCs/>
                <w:color w:val="000000"/>
                <w:spacing w:val="0"/>
                <w:w w:val="100"/>
                <w:position w:val="0"/>
                <w:sz w:val="22"/>
                <w:szCs w:val="22"/>
              </w:rPr>
              <w:t>1</w:t>
            </w:r>
            <w:r>
              <w:rPr>
                <w:rFonts w:hint="eastAsia"/>
                <w:color w:val="000000"/>
                <w:spacing w:val="0"/>
                <w:w w:val="100"/>
                <w:position w:val="0"/>
                <w:sz w:val="24"/>
                <w:szCs w:val="24"/>
                <w:lang w:val="en-US" w:eastAsia="zh-CN"/>
              </w:rPr>
              <w:t>.</w:t>
            </w:r>
            <w:r>
              <w:rPr>
                <w:color w:val="000000"/>
                <w:spacing w:val="0"/>
                <w:w w:val="100"/>
                <w:position w:val="0"/>
                <w:sz w:val="24"/>
                <w:szCs w:val="24"/>
              </w:rPr>
              <w:t>对失信主体申请从事道路、铁路、水路、民航运输和站场（港口、机场） 经营业务的，在班线和航线审批、经营许可等方面依法实行限制性管理措施</w:t>
            </w:r>
            <w:r>
              <w:rPr>
                <w:rFonts w:hint="eastAsia"/>
                <w:color w:val="000000"/>
                <w:spacing w:val="0"/>
                <w:w w:val="100"/>
                <w:position w:val="0"/>
                <w:sz w:val="24"/>
                <w:szCs w:val="24"/>
                <w:lang w:eastAsia="zh-CN"/>
              </w:rPr>
              <w:t>。</w:t>
            </w:r>
          </w:p>
        </w:tc>
        <w:tc>
          <w:tcPr>
            <w:tcW w:w="9400" w:type="dxa"/>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0" w:after="0" w:line="317" w:lineRule="exact"/>
              <w:ind w:left="0" w:right="0" w:firstLine="480" w:firstLineChars="200"/>
              <w:jc w:val="left"/>
              <w:rPr>
                <w:color w:val="000000"/>
                <w:spacing w:val="0"/>
                <w:w w:val="100"/>
                <w:position w:val="0"/>
                <w:sz w:val="24"/>
                <w:szCs w:val="24"/>
              </w:rPr>
            </w:pPr>
            <w:r>
              <w:rPr>
                <w:color w:val="000000"/>
                <w:spacing w:val="0"/>
                <w:w w:val="100"/>
                <w:position w:val="0"/>
                <w:sz w:val="24"/>
                <w:szCs w:val="24"/>
              </w:rPr>
              <w:t>1、《中华人民共和国道路运输条例》</w:t>
            </w:r>
          </w:p>
          <w:p>
            <w:pPr>
              <w:pStyle w:val="12"/>
              <w:keepNext w:val="0"/>
              <w:keepLines w:val="0"/>
              <w:widowControl w:val="0"/>
              <w:shd w:val="clear" w:color="auto" w:fill="auto"/>
              <w:bidi w:val="0"/>
              <w:spacing w:before="0" w:after="0" w:line="317" w:lineRule="exact"/>
              <w:ind w:left="0" w:right="0" w:firstLine="480" w:firstLineChars="200"/>
              <w:jc w:val="left"/>
              <w:rPr>
                <w:color w:val="000000"/>
                <w:spacing w:val="0"/>
                <w:w w:val="100"/>
                <w:position w:val="0"/>
                <w:sz w:val="24"/>
                <w:szCs w:val="24"/>
              </w:rPr>
            </w:pPr>
            <w:r>
              <w:rPr>
                <w:color w:val="000000"/>
                <w:spacing w:val="0"/>
                <w:w w:val="100"/>
                <w:position w:val="0"/>
                <w:sz w:val="24"/>
                <w:szCs w:val="24"/>
              </w:rPr>
              <w:t>第三条</w:t>
            </w:r>
            <w:r>
              <w:rPr>
                <w:rFonts w:hint="eastAsia"/>
                <w:color w:val="000000"/>
                <w:spacing w:val="0"/>
                <w:w w:val="100"/>
                <w:position w:val="0"/>
                <w:sz w:val="24"/>
                <w:szCs w:val="24"/>
                <w:lang w:val="en-US" w:eastAsia="zh-CN"/>
              </w:rPr>
              <w:t xml:space="preserve">  </w:t>
            </w:r>
            <w:r>
              <w:rPr>
                <w:color w:val="000000"/>
                <w:spacing w:val="0"/>
                <w:w w:val="100"/>
                <w:position w:val="0"/>
                <w:sz w:val="24"/>
                <w:szCs w:val="24"/>
              </w:rPr>
              <w:t>从事道路运输经营以及道路运输相关业务，应当依法经营，诚实信用，公平竞争。</w:t>
            </w:r>
          </w:p>
          <w:p>
            <w:pPr>
              <w:pStyle w:val="12"/>
              <w:keepNext w:val="0"/>
              <w:keepLines w:val="0"/>
              <w:widowControl w:val="0"/>
              <w:shd w:val="clear" w:color="auto" w:fill="auto"/>
              <w:bidi w:val="0"/>
              <w:spacing w:before="0" w:after="0" w:line="317" w:lineRule="exact"/>
              <w:ind w:left="0" w:right="0" w:firstLine="480" w:firstLineChars="200"/>
              <w:jc w:val="left"/>
              <w:rPr>
                <w:color w:val="000000"/>
                <w:spacing w:val="0"/>
                <w:w w:val="100"/>
                <w:position w:val="0"/>
                <w:sz w:val="24"/>
                <w:szCs w:val="24"/>
              </w:rPr>
            </w:pPr>
            <w:r>
              <w:rPr>
                <w:color w:val="000000"/>
                <w:spacing w:val="0"/>
                <w:w w:val="100"/>
                <w:position w:val="0"/>
                <w:sz w:val="24"/>
                <w:szCs w:val="24"/>
                <w:lang w:val="zh-TW" w:eastAsia="zh-TW"/>
              </w:rPr>
              <w:t>第二十一条</w:t>
            </w:r>
            <w:r>
              <w:rPr>
                <w:rFonts w:hint="eastAsia"/>
                <w:color w:val="000000"/>
                <w:spacing w:val="0"/>
                <w:w w:val="100"/>
                <w:position w:val="0"/>
                <w:sz w:val="24"/>
                <w:szCs w:val="24"/>
                <w:lang w:val="en-US" w:eastAsia="zh-CN"/>
              </w:rPr>
              <w:t xml:space="preserve">  </w:t>
            </w:r>
            <w:r>
              <w:rPr>
                <w:color w:val="000000"/>
                <w:spacing w:val="0"/>
                <w:w w:val="100"/>
                <w:position w:val="0"/>
                <w:sz w:val="24"/>
                <w:szCs w:val="24"/>
                <w:lang w:val="zh-TW" w:eastAsia="zh-TW"/>
              </w:rPr>
              <w:t>申请从事货运经营的，应当具备下列条件：（一）有与其经营业务相适应并经检测合格的车辆；（二）有符合本条例第二十二条规定条</w:t>
            </w:r>
            <w:r>
              <w:rPr>
                <w:color w:val="000000"/>
                <w:spacing w:val="0"/>
                <w:w w:val="100"/>
                <w:position w:val="0"/>
                <w:sz w:val="24"/>
                <w:szCs w:val="24"/>
              </w:rPr>
              <w:t>件的驾驶人员；（三）有健全的安全管理制度。</w:t>
            </w:r>
          </w:p>
          <w:p>
            <w:pPr>
              <w:pStyle w:val="12"/>
              <w:keepNext w:val="0"/>
              <w:keepLines w:val="0"/>
              <w:widowControl w:val="0"/>
              <w:shd w:val="clear" w:color="auto" w:fill="auto"/>
              <w:bidi w:val="0"/>
              <w:spacing w:before="0" w:after="0" w:line="317" w:lineRule="exact"/>
              <w:ind w:left="0" w:right="0" w:firstLine="480" w:firstLineChars="200"/>
              <w:jc w:val="left"/>
              <w:rPr>
                <w:color w:val="000000"/>
                <w:spacing w:val="0"/>
                <w:w w:val="100"/>
                <w:position w:val="0"/>
                <w:sz w:val="24"/>
                <w:szCs w:val="24"/>
              </w:rPr>
            </w:pPr>
            <w:r>
              <w:rPr>
                <w:color w:val="000000"/>
                <w:spacing w:val="0"/>
                <w:w w:val="100"/>
                <w:position w:val="0"/>
                <w:sz w:val="24"/>
                <w:szCs w:val="24"/>
              </w:rPr>
              <w:t>2、《国务院关于促进市场公平竞争维护市场正常秩序的若干意见》</w:t>
            </w:r>
          </w:p>
          <w:p>
            <w:pPr>
              <w:pStyle w:val="12"/>
              <w:keepNext w:val="0"/>
              <w:keepLines w:val="0"/>
              <w:widowControl w:val="0"/>
              <w:shd w:val="clear" w:color="auto" w:fill="auto"/>
              <w:bidi w:val="0"/>
              <w:spacing w:before="0" w:after="0" w:line="317" w:lineRule="exact"/>
              <w:ind w:left="0" w:right="0" w:firstLine="480" w:firstLineChars="200"/>
              <w:jc w:val="left"/>
              <w:rPr>
                <w:color w:val="000000"/>
                <w:spacing w:val="0"/>
                <w:w w:val="100"/>
                <w:position w:val="0"/>
                <w:sz w:val="24"/>
                <w:szCs w:val="24"/>
              </w:rPr>
            </w:pPr>
            <w:r>
              <w:rPr>
                <w:color w:val="000000"/>
                <w:spacing w:val="0"/>
                <w:w w:val="100"/>
                <w:position w:val="0"/>
                <w:sz w:val="24"/>
                <w:szCs w:val="24"/>
              </w:rPr>
              <w:t>（十五）建立健全守信激励和失信惩戒机制。</w:t>
            </w:r>
            <w:r>
              <w:rPr>
                <w:color w:val="000000"/>
                <w:spacing w:val="0"/>
                <w:w w:val="100"/>
                <w:position w:val="0"/>
                <w:sz w:val="24"/>
                <w:szCs w:val="24"/>
                <w:lang w:val="zh-CN" w:eastAsia="zh-CN"/>
              </w:rPr>
              <w:t>对</w:t>
            </w:r>
            <w:r>
              <w:rPr>
                <w:color w:val="000000"/>
                <w:spacing w:val="0"/>
                <w:w w:val="100"/>
                <w:position w:val="0"/>
                <w:sz w:val="24"/>
                <w:szCs w:val="24"/>
              </w:rPr>
              <w:t>守信主体予以支持和激励，对失信主体在经营、投</w:t>
            </w:r>
            <w:r>
              <w:rPr>
                <w:color w:val="000000"/>
                <w:spacing w:val="0"/>
                <w:w w:val="100"/>
                <w:position w:val="0"/>
                <w:sz w:val="24"/>
                <w:szCs w:val="24"/>
                <w:lang w:val="zh-CN" w:eastAsia="zh-CN"/>
              </w:rPr>
              <w:t>融资、</w:t>
            </w:r>
            <w:r>
              <w:rPr>
                <w:color w:val="000000"/>
                <w:spacing w:val="0"/>
                <w:w w:val="100"/>
                <w:position w:val="0"/>
                <w:sz w:val="24"/>
                <w:szCs w:val="24"/>
              </w:rPr>
              <w:t>取得政府供应土地、进出口、出入境、注册新公司、工程招投标、政府采购、获得荣誉、安全许可、生产许可、从业任职资格、资质审核等方面依法予以限制或禁止，对严重违法失信主体实行市场禁入制度。</w:t>
            </w:r>
          </w:p>
          <w:p>
            <w:pPr>
              <w:pStyle w:val="12"/>
              <w:keepNext w:val="0"/>
              <w:keepLines w:val="0"/>
              <w:widowControl w:val="0"/>
              <w:shd w:val="clear" w:color="auto" w:fill="auto"/>
              <w:bidi w:val="0"/>
              <w:spacing w:before="0" w:after="0" w:line="317" w:lineRule="exact"/>
              <w:ind w:left="0" w:right="0" w:firstLine="480" w:firstLineChars="200"/>
              <w:jc w:val="left"/>
              <w:rPr>
                <w:color w:val="000000"/>
                <w:spacing w:val="0"/>
                <w:w w:val="100"/>
                <w:position w:val="0"/>
                <w:sz w:val="24"/>
                <w:szCs w:val="24"/>
              </w:rPr>
            </w:pPr>
            <w:r>
              <w:rPr>
                <w:color w:val="000000"/>
                <w:spacing w:val="0"/>
                <w:w w:val="100"/>
                <w:position w:val="0"/>
                <w:sz w:val="24"/>
                <w:szCs w:val="24"/>
              </w:rPr>
              <w:t>3、《国务院关于加强道路交通安全工作的意见》</w:t>
            </w:r>
          </w:p>
          <w:p>
            <w:pPr>
              <w:pStyle w:val="12"/>
              <w:keepNext w:val="0"/>
              <w:keepLines w:val="0"/>
              <w:widowControl w:val="0"/>
              <w:shd w:val="clear" w:color="auto" w:fill="auto"/>
              <w:bidi w:val="0"/>
              <w:spacing w:before="0" w:after="0" w:line="317" w:lineRule="exact"/>
              <w:ind w:left="0" w:right="0" w:firstLine="480" w:firstLineChars="200"/>
              <w:jc w:val="left"/>
              <w:rPr>
                <w:color w:val="000000"/>
                <w:spacing w:val="0"/>
                <w:w w:val="100"/>
                <w:position w:val="0"/>
                <w:sz w:val="24"/>
                <w:szCs w:val="24"/>
              </w:rPr>
            </w:pPr>
            <w:r>
              <w:rPr>
                <w:color w:val="000000"/>
                <w:spacing w:val="0"/>
                <w:w w:val="100"/>
                <w:position w:val="0"/>
                <w:sz w:val="24"/>
                <w:szCs w:val="24"/>
              </w:rPr>
              <w:t>（二十五）加大事故责任追究力度</w:t>
            </w:r>
            <w:r>
              <w:rPr>
                <w:color w:val="000000"/>
                <w:spacing w:val="0"/>
                <w:w w:val="100"/>
                <w:position w:val="0"/>
                <w:sz w:val="24"/>
                <w:szCs w:val="24"/>
                <w:lang w:val="zh-CN" w:eastAsia="zh-CN"/>
              </w:rPr>
              <w:t>。对</w:t>
            </w:r>
            <w:r>
              <w:rPr>
                <w:color w:val="000000"/>
                <w:spacing w:val="0"/>
                <w:w w:val="100"/>
                <w:position w:val="0"/>
                <w:sz w:val="24"/>
                <w:szCs w:val="24"/>
              </w:rPr>
              <w:t>发生重大及以上或者6个月内发生两起较大及以上责任事故的道路运输企业，依法责令停业整顿；停业整顿后符合安全生产条件的，准予恢复运营，但客运企业3年内不得新增客运班线，旅游企业3年内不得新增旅游车辆；</w:t>
            </w:r>
          </w:p>
          <w:p>
            <w:pPr>
              <w:pStyle w:val="12"/>
              <w:keepNext w:val="0"/>
              <w:keepLines w:val="0"/>
              <w:widowControl w:val="0"/>
              <w:shd w:val="clear" w:color="auto" w:fill="auto"/>
              <w:bidi w:val="0"/>
              <w:spacing w:before="0" w:after="0" w:line="317" w:lineRule="exact"/>
              <w:ind w:left="0" w:right="0" w:firstLine="480" w:firstLineChars="200"/>
              <w:jc w:val="left"/>
              <w:rPr>
                <w:color w:val="000000"/>
                <w:spacing w:val="0"/>
                <w:w w:val="100"/>
                <w:position w:val="0"/>
                <w:sz w:val="24"/>
                <w:szCs w:val="24"/>
              </w:rPr>
            </w:pPr>
            <w:r>
              <w:rPr>
                <w:color w:val="000000"/>
                <w:spacing w:val="0"/>
                <w:w w:val="100"/>
                <w:position w:val="0"/>
                <w:sz w:val="24"/>
                <w:szCs w:val="24"/>
              </w:rPr>
              <w:t>4、《交通运输部工业和信息化部 公安部</w:t>
            </w:r>
            <w:r>
              <w:rPr>
                <w:rFonts w:hint="eastAsia"/>
                <w:color w:val="000000"/>
                <w:spacing w:val="0"/>
                <w:w w:val="100"/>
                <w:position w:val="0"/>
                <w:sz w:val="24"/>
                <w:szCs w:val="24"/>
                <w:lang w:val="en-US" w:eastAsia="zh-CN"/>
              </w:rPr>
              <w:t xml:space="preserve"> </w:t>
            </w:r>
            <w:r>
              <w:rPr>
                <w:color w:val="000000"/>
                <w:spacing w:val="0"/>
                <w:w w:val="100"/>
                <w:position w:val="0"/>
                <w:sz w:val="24"/>
                <w:szCs w:val="24"/>
              </w:rPr>
              <w:t>工商总局</w:t>
            </w:r>
            <w:r>
              <w:rPr>
                <w:rFonts w:hint="eastAsia"/>
                <w:color w:val="000000"/>
                <w:spacing w:val="0"/>
                <w:w w:val="100"/>
                <w:position w:val="0"/>
                <w:sz w:val="24"/>
                <w:szCs w:val="24"/>
                <w:lang w:val="en-US" w:eastAsia="zh-CN"/>
              </w:rPr>
              <w:t xml:space="preserve"> </w:t>
            </w:r>
            <w:r>
              <w:rPr>
                <w:color w:val="000000"/>
                <w:spacing w:val="0"/>
                <w:w w:val="100"/>
                <w:position w:val="0"/>
                <w:sz w:val="24"/>
                <w:szCs w:val="24"/>
              </w:rPr>
              <w:t>质检总局关于进一步做好货车非法改装和超限超载治理工作的意见》</w:t>
            </w:r>
          </w:p>
          <w:p>
            <w:pPr>
              <w:pStyle w:val="12"/>
              <w:keepNext w:val="0"/>
              <w:keepLines w:val="0"/>
              <w:widowControl w:val="0"/>
              <w:shd w:val="clear" w:color="auto" w:fill="auto"/>
              <w:bidi w:val="0"/>
              <w:spacing w:before="0" w:after="0" w:line="317" w:lineRule="exact"/>
              <w:ind w:left="0" w:right="0" w:firstLine="480" w:firstLineChars="200"/>
              <w:jc w:val="left"/>
              <w:rPr>
                <w:sz w:val="24"/>
                <w:szCs w:val="24"/>
              </w:rPr>
            </w:pPr>
            <w:r>
              <w:rPr>
                <w:color w:val="000000"/>
                <w:spacing w:val="0"/>
                <w:w w:val="100"/>
                <w:position w:val="0"/>
                <w:sz w:val="24"/>
                <w:szCs w:val="24"/>
              </w:rPr>
              <w:t>（五）加强营运车辆准入管理和综合性能检测。各地道路运输管理机构严格执行《道路运输车辆技术管理规定》，严把营运车辆技术关，对不符合相关标准规定的车辆，不得允许进入道路运输市场。加强在用货车营运资质清理，规范普通货物、大件货物和危险货物营运</w:t>
            </w:r>
            <w:r>
              <w:rPr>
                <w:rFonts w:hint="eastAsia"/>
                <w:color w:val="000000"/>
                <w:spacing w:val="0"/>
                <w:w w:val="100"/>
                <w:position w:val="0"/>
                <w:sz w:val="24"/>
                <w:szCs w:val="24"/>
                <w:lang w:eastAsia="zh-CN"/>
              </w:rPr>
              <w:t>资</w:t>
            </w:r>
            <w:r>
              <w:rPr>
                <w:color w:val="000000"/>
                <w:spacing w:val="0"/>
                <w:w w:val="100"/>
                <w:position w:val="0"/>
                <w:sz w:val="24"/>
                <w:szCs w:val="24"/>
              </w:rPr>
              <w:t>质分类许可。禁止</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sz w:val="24"/>
                <w:szCs w:val="24"/>
              </w:rPr>
            </w:pPr>
            <w:r>
              <w:rPr>
                <w:color w:val="000000"/>
                <w:spacing w:val="0"/>
                <w:w w:val="100"/>
                <w:position w:val="0"/>
                <w:sz w:val="24"/>
                <w:szCs w:val="24"/>
              </w:rPr>
              <w:t>交通运输部、国家铁路局、中国民航局</w:t>
            </w:r>
          </w:p>
        </w:tc>
      </w:tr>
      <w:tr>
        <w:tblPrEx>
          <w:tblCellMar>
            <w:top w:w="0" w:type="dxa"/>
            <w:left w:w="10" w:type="dxa"/>
            <w:bottom w:w="0" w:type="dxa"/>
            <w:right w:w="10" w:type="dxa"/>
          </w:tblCellMar>
        </w:tblPrEx>
        <w:trPr>
          <w:trHeight w:val="4928"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317" w:lineRule="exact"/>
              <w:ind w:left="0" w:right="0" w:firstLine="0"/>
              <w:jc w:val="left"/>
              <w:rPr>
                <w:rFonts w:ascii="Times New Roman" w:hAnsi="Times New Roman" w:eastAsia="Times New Roman" w:cs="Times New Roman"/>
                <w:b/>
                <w:bCs/>
                <w:color w:val="000000"/>
                <w:spacing w:val="0"/>
                <w:w w:val="100"/>
                <w:position w:val="0"/>
                <w:sz w:val="22"/>
                <w:szCs w:val="22"/>
              </w:rPr>
            </w:pPr>
          </w:p>
        </w:tc>
        <w:tc>
          <w:tcPr>
            <w:tcW w:w="9400" w:type="dxa"/>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0" w:after="0" w:line="317" w:lineRule="exact"/>
              <w:ind w:right="0"/>
              <w:jc w:val="left"/>
              <w:rPr>
                <w:rFonts w:hint="eastAsia"/>
                <w:color w:val="000000"/>
                <w:spacing w:val="0"/>
                <w:w w:val="100"/>
                <w:position w:val="0"/>
                <w:sz w:val="24"/>
                <w:szCs w:val="24"/>
              </w:rPr>
            </w:pPr>
            <w:r>
              <w:rPr>
                <w:rFonts w:hint="eastAsia"/>
                <w:color w:val="000000"/>
                <w:spacing w:val="0"/>
                <w:w w:val="100"/>
                <w:position w:val="0"/>
                <w:sz w:val="24"/>
                <w:szCs w:val="24"/>
              </w:rPr>
              <w:t>大件运输专用车辆从事普通货物运输。</w:t>
            </w:r>
          </w:p>
          <w:p>
            <w:pPr>
              <w:pStyle w:val="12"/>
              <w:keepNext w:val="0"/>
              <w:keepLines w:val="0"/>
              <w:widowControl w:val="0"/>
              <w:shd w:val="clear" w:color="auto" w:fill="auto"/>
              <w:bidi w:val="0"/>
              <w:spacing w:before="0" w:after="0" w:line="317" w:lineRule="exact"/>
              <w:ind w:left="0" w:right="0" w:firstLine="480" w:firstLineChars="200"/>
              <w:jc w:val="left"/>
              <w:rPr>
                <w:rFonts w:hint="eastAsia"/>
                <w:color w:val="000000"/>
                <w:spacing w:val="0"/>
                <w:w w:val="100"/>
                <w:position w:val="0"/>
                <w:sz w:val="24"/>
                <w:szCs w:val="24"/>
              </w:rPr>
            </w:pPr>
            <w:r>
              <w:rPr>
                <w:rFonts w:hint="eastAsia"/>
                <w:color w:val="000000"/>
                <w:spacing w:val="0"/>
                <w:w w:val="100"/>
                <w:position w:val="0"/>
                <w:sz w:val="24"/>
                <w:szCs w:val="24"/>
              </w:rPr>
              <w:t>5、《道路旅客运输及客运站管理规定》</w:t>
            </w:r>
          </w:p>
          <w:p>
            <w:pPr>
              <w:pStyle w:val="12"/>
              <w:keepNext w:val="0"/>
              <w:keepLines w:val="0"/>
              <w:widowControl w:val="0"/>
              <w:shd w:val="clear" w:color="auto" w:fill="auto"/>
              <w:bidi w:val="0"/>
              <w:spacing w:before="0" w:after="0" w:line="317" w:lineRule="exact"/>
              <w:ind w:left="0" w:right="0" w:firstLine="480" w:firstLineChars="200"/>
              <w:jc w:val="left"/>
              <w:rPr>
                <w:rFonts w:hint="eastAsia"/>
                <w:color w:val="000000"/>
                <w:spacing w:val="0"/>
                <w:w w:val="100"/>
                <w:position w:val="0"/>
                <w:sz w:val="24"/>
                <w:szCs w:val="24"/>
              </w:rPr>
            </w:pPr>
            <w:r>
              <w:rPr>
                <w:rFonts w:hint="eastAsia"/>
                <w:color w:val="000000"/>
                <w:spacing w:val="0"/>
                <w:w w:val="100"/>
                <w:position w:val="0"/>
                <w:sz w:val="24"/>
                <w:szCs w:val="24"/>
              </w:rPr>
              <w:t>第四条</w:t>
            </w:r>
            <w:r>
              <w:rPr>
                <w:rFonts w:hint="eastAsia"/>
                <w:color w:val="000000"/>
                <w:spacing w:val="0"/>
                <w:w w:val="100"/>
                <w:position w:val="0"/>
                <w:sz w:val="24"/>
                <w:szCs w:val="24"/>
                <w:lang w:val="en-US" w:eastAsia="zh-CN"/>
              </w:rPr>
              <w:t xml:space="preserve">  </w:t>
            </w:r>
            <w:r>
              <w:rPr>
                <w:rFonts w:hint="eastAsia"/>
                <w:color w:val="000000"/>
                <w:spacing w:val="0"/>
                <w:w w:val="100"/>
                <w:position w:val="0"/>
                <w:sz w:val="24"/>
                <w:szCs w:val="24"/>
              </w:rPr>
              <w:t>道路客运及客运站经营者应当依法经营，诚实信用，公平竞争，优质服务。</w:t>
            </w:r>
          </w:p>
          <w:p>
            <w:pPr>
              <w:pStyle w:val="12"/>
              <w:keepNext w:val="0"/>
              <w:keepLines w:val="0"/>
              <w:widowControl w:val="0"/>
              <w:shd w:val="clear" w:color="auto" w:fill="auto"/>
              <w:bidi w:val="0"/>
              <w:spacing w:before="0" w:after="0" w:line="317" w:lineRule="exact"/>
              <w:ind w:left="0" w:right="0" w:firstLine="480" w:firstLineChars="200"/>
              <w:jc w:val="left"/>
              <w:rPr>
                <w:rFonts w:hint="eastAsia"/>
                <w:color w:val="000000"/>
                <w:spacing w:val="0"/>
                <w:w w:val="100"/>
                <w:position w:val="0"/>
                <w:sz w:val="24"/>
                <w:szCs w:val="24"/>
              </w:rPr>
            </w:pPr>
            <w:r>
              <w:rPr>
                <w:rFonts w:hint="eastAsia"/>
                <w:color w:val="000000"/>
                <w:spacing w:val="0"/>
                <w:w w:val="100"/>
                <w:position w:val="0"/>
                <w:sz w:val="24"/>
                <w:szCs w:val="24"/>
              </w:rPr>
              <w:t>第五条</w:t>
            </w:r>
            <w:r>
              <w:rPr>
                <w:rFonts w:hint="eastAsia"/>
                <w:color w:val="000000"/>
                <w:spacing w:val="0"/>
                <w:w w:val="100"/>
                <w:position w:val="0"/>
                <w:sz w:val="24"/>
                <w:szCs w:val="24"/>
                <w:lang w:val="en-US" w:eastAsia="zh-CN"/>
              </w:rPr>
              <w:t xml:space="preserve">  </w:t>
            </w:r>
            <w:r>
              <w:rPr>
                <w:rFonts w:hint="eastAsia"/>
                <w:color w:val="000000"/>
                <w:spacing w:val="0"/>
                <w:w w:val="100"/>
                <w:position w:val="0"/>
                <w:sz w:val="24"/>
                <w:szCs w:val="24"/>
              </w:rPr>
              <w:t>国家实行道路客运企业等级评定制度和质量信誉考核制度，鼓励道路客运经营者实行规模化、集约化、公司化经营，禁止挂靠经营。</w:t>
            </w:r>
          </w:p>
          <w:p>
            <w:pPr>
              <w:pStyle w:val="12"/>
              <w:keepNext w:val="0"/>
              <w:keepLines w:val="0"/>
              <w:widowControl w:val="0"/>
              <w:shd w:val="clear" w:color="auto" w:fill="auto"/>
              <w:bidi w:val="0"/>
              <w:spacing w:before="0" w:after="0" w:line="317" w:lineRule="exact"/>
              <w:ind w:left="0" w:right="0" w:firstLine="480" w:firstLineChars="200"/>
              <w:jc w:val="left"/>
              <w:rPr>
                <w:rFonts w:hint="eastAsia"/>
                <w:color w:val="000000"/>
                <w:spacing w:val="0"/>
                <w:w w:val="100"/>
                <w:position w:val="0"/>
                <w:sz w:val="24"/>
                <w:szCs w:val="24"/>
              </w:rPr>
            </w:pPr>
            <w:r>
              <w:rPr>
                <w:rFonts w:hint="eastAsia"/>
                <w:color w:val="000000"/>
                <w:spacing w:val="0"/>
                <w:w w:val="100"/>
                <w:position w:val="0"/>
                <w:sz w:val="24"/>
                <w:szCs w:val="24"/>
              </w:rPr>
              <w:t>6、《道路货物运输及站场管理规定》</w:t>
            </w:r>
          </w:p>
          <w:p>
            <w:pPr>
              <w:pStyle w:val="12"/>
              <w:keepNext w:val="0"/>
              <w:keepLines w:val="0"/>
              <w:widowControl w:val="0"/>
              <w:shd w:val="clear" w:color="auto" w:fill="auto"/>
              <w:bidi w:val="0"/>
              <w:spacing w:before="0" w:after="0" w:line="317" w:lineRule="exact"/>
              <w:ind w:left="0" w:right="0" w:firstLine="480" w:firstLineChars="200"/>
              <w:jc w:val="left"/>
              <w:rPr>
                <w:rFonts w:hint="eastAsia"/>
                <w:color w:val="000000"/>
                <w:spacing w:val="0"/>
                <w:w w:val="100"/>
                <w:position w:val="0"/>
                <w:sz w:val="24"/>
                <w:szCs w:val="24"/>
              </w:rPr>
            </w:pPr>
            <w:r>
              <w:rPr>
                <w:rFonts w:hint="eastAsia"/>
                <w:color w:val="000000"/>
                <w:spacing w:val="0"/>
                <w:w w:val="100"/>
                <w:position w:val="0"/>
                <w:sz w:val="24"/>
                <w:szCs w:val="24"/>
              </w:rPr>
              <w:t>第三条</w:t>
            </w:r>
            <w:r>
              <w:rPr>
                <w:rFonts w:hint="eastAsia"/>
                <w:color w:val="000000"/>
                <w:spacing w:val="0"/>
                <w:w w:val="100"/>
                <w:position w:val="0"/>
                <w:sz w:val="24"/>
                <w:szCs w:val="24"/>
                <w:lang w:val="en-US" w:eastAsia="zh-CN"/>
              </w:rPr>
              <w:t xml:space="preserve">  </w:t>
            </w:r>
            <w:r>
              <w:rPr>
                <w:rFonts w:hint="eastAsia"/>
                <w:color w:val="000000"/>
                <w:spacing w:val="0"/>
                <w:w w:val="100"/>
                <w:position w:val="0"/>
                <w:sz w:val="24"/>
                <w:szCs w:val="24"/>
              </w:rPr>
              <w:t>道路货物运输和货运站经营者应当依法经营，诚实信用，公平竞争。</w:t>
            </w:r>
          </w:p>
          <w:p>
            <w:pPr>
              <w:pStyle w:val="12"/>
              <w:keepNext w:val="0"/>
              <w:keepLines w:val="0"/>
              <w:widowControl w:val="0"/>
              <w:shd w:val="clear" w:color="auto" w:fill="auto"/>
              <w:bidi w:val="0"/>
              <w:spacing w:before="0" w:after="0" w:line="317" w:lineRule="exact"/>
              <w:ind w:left="0" w:right="0" w:firstLine="480" w:firstLineChars="200"/>
              <w:jc w:val="left"/>
              <w:rPr>
                <w:rFonts w:hint="eastAsia"/>
                <w:color w:val="000000"/>
                <w:spacing w:val="0"/>
                <w:w w:val="100"/>
                <w:position w:val="0"/>
                <w:sz w:val="24"/>
                <w:szCs w:val="24"/>
              </w:rPr>
            </w:pPr>
            <w:r>
              <w:rPr>
                <w:rFonts w:hint="eastAsia"/>
                <w:color w:val="000000"/>
                <w:spacing w:val="0"/>
                <w:w w:val="100"/>
                <w:position w:val="0"/>
                <w:sz w:val="24"/>
                <w:szCs w:val="24"/>
              </w:rPr>
              <w:t>7、《铁路运输企业准入许可办法》</w:t>
            </w:r>
          </w:p>
          <w:p>
            <w:pPr>
              <w:pStyle w:val="12"/>
              <w:keepNext w:val="0"/>
              <w:keepLines w:val="0"/>
              <w:widowControl w:val="0"/>
              <w:shd w:val="clear" w:color="auto" w:fill="auto"/>
              <w:bidi w:val="0"/>
              <w:spacing w:before="0" w:after="0" w:line="317" w:lineRule="exact"/>
              <w:ind w:left="0" w:right="0" w:firstLine="480" w:firstLineChars="200"/>
              <w:jc w:val="left"/>
              <w:rPr>
                <w:rFonts w:hint="eastAsia"/>
                <w:color w:val="000000"/>
                <w:spacing w:val="0"/>
                <w:w w:val="100"/>
                <w:position w:val="0"/>
                <w:sz w:val="24"/>
                <w:szCs w:val="24"/>
              </w:rPr>
            </w:pPr>
            <w:r>
              <w:rPr>
                <w:rFonts w:hint="eastAsia"/>
                <w:color w:val="000000"/>
                <w:spacing w:val="0"/>
                <w:w w:val="100"/>
                <w:position w:val="0"/>
                <w:sz w:val="24"/>
                <w:szCs w:val="24"/>
              </w:rPr>
              <w:t>第七条</w:t>
            </w:r>
            <w:r>
              <w:rPr>
                <w:rFonts w:hint="eastAsia"/>
                <w:color w:val="000000"/>
                <w:spacing w:val="0"/>
                <w:w w:val="100"/>
                <w:position w:val="0"/>
                <w:sz w:val="24"/>
                <w:szCs w:val="24"/>
                <w:lang w:val="en-US" w:eastAsia="zh-CN"/>
              </w:rPr>
              <w:t xml:space="preserve">  </w:t>
            </w:r>
            <w:r>
              <w:rPr>
                <w:rFonts w:hint="eastAsia"/>
                <w:color w:val="000000"/>
                <w:spacing w:val="0"/>
                <w:w w:val="100"/>
                <w:position w:val="0"/>
                <w:sz w:val="24"/>
                <w:szCs w:val="24"/>
              </w:rPr>
              <w:t>在最近2年内因生产安全事故受到行政处分的，不得担任铁路运</w:t>
            </w:r>
            <w:r>
              <w:rPr>
                <w:rFonts w:hint="eastAsia"/>
                <w:color w:val="000000"/>
                <w:spacing w:val="0"/>
                <w:w w:val="100"/>
                <w:position w:val="0"/>
                <w:sz w:val="24"/>
                <w:szCs w:val="24"/>
                <w:lang w:eastAsia="zh-CN"/>
              </w:rPr>
              <w:t>输</w:t>
            </w:r>
            <w:r>
              <w:rPr>
                <w:rFonts w:hint="eastAsia"/>
                <w:color w:val="000000"/>
                <w:spacing w:val="0"/>
                <w:w w:val="100"/>
                <w:position w:val="0"/>
                <w:sz w:val="24"/>
                <w:szCs w:val="24"/>
              </w:rPr>
              <w:t>相关业务的负责人和专业技术管理的负责人。</w:t>
            </w:r>
          </w:p>
          <w:p>
            <w:pPr>
              <w:pStyle w:val="12"/>
              <w:keepNext w:val="0"/>
              <w:keepLines w:val="0"/>
              <w:widowControl w:val="0"/>
              <w:shd w:val="clear" w:color="auto" w:fill="auto"/>
              <w:bidi w:val="0"/>
              <w:spacing w:before="0" w:after="0" w:line="317" w:lineRule="exact"/>
              <w:ind w:left="0" w:right="0" w:firstLine="480" w:firstLineChars="200"/>
              <w:jc w:val="left"/>
              <w:rPr>
                <w:rFonts w:hint="eastAsia"/>
                <w:color w:val="000000"/>
                <w:spacing w:val="0"/>
                <w:w w:val="100"/>
                <w:position w:val="0"/>
                <w:sz w:val="24"/>
                <w:szCs w:val="24"/>
              </w:rPr>
            </w:pPr>
            <w:r>
              <w:rPr>
                <w:rFonts w:hint="eastAsia"/>
                <w:color w:val="000000"/>
                <w:spacing w:val="0"/>
                <w:w w:val="100"/>
                <w:position w:val="0"/>
                <w:sz w:val="24"/>
                <w:szCs w:val="24"/>
              </w:rPr>
              <w:t>第二十六条</w:t>
            </w:r>
            <w:r>
              <w:rPr>
                <w:rFonts w:hint="eastAsia"/>
                <w:color w:val="000000"/>
                <w:spacing w:val="0"/>
                <w:w w:val="100"/>
                <w:position w:val="0"/>
                <w:sz w:val="24"/>
                <w:szCs w:val="24"/>
                <w:lang w:val="en-US" w:eastAsia="zh-CN"/>
              </w:rPr>
              <w:t xml:space="preserve">  </w:t>
            </w:r>
            <w:r>
              <w:rPr>
                <w:rFonts w:hint="eastAsia"/>
                <w:color w:val="000000"/>
                <w:spacing w:val="0"/>
                <w:w w:val="100"/>
                <w:position w:val="0"/>
                <w:sz w:val="24"/>
                <w:szCs w:val="24"/>
              </w:rPr>
              <w:t>申请企业隐瞒有关情况或者提供虚假材料申请铁路运输许可的，国家铁路局不予受理或者不予许可，并给予警告，申请企业在1年内不得再次申请铁路运输许可。</w:t>
            </w:r>
          </w:p>
          <w:p>
            <w:pPr>
              <w:pStyle w:val="12"/>
              <w:keepNext w:val="0"/>
              <w:keepLines w:val="0"/>
              <w:widowControl w:val="0"/>
              <w:shd w:val="clear" w:color="auto" w:fill="auto"/>
              <w:bidi w:val="0"/>
              <w:spacing w:before="0" w:after="0" w:line="317" w:lineRule="exact"/>
              <w:ind w:left="0" w:right="0" w:firstLine="480" w:firstLineChars="200"/>
              <w:jc w:val="left"/>
              <w:rPr>
                <w:rFonts w:hint="eastAsia"/>
                <w:color w:val="000000"/>
                <w:spacing w:val="0"/>
                <w:w w:val="100"/>
                <w:position w:val="0"/>
                <w:sz w:val="24"/>
                <w:szCs w:val="24"/>
              </w:rPr>
            </w:pPr>
            <w:r>
              <w:rPr>
                <w:rFonts w:hint="eastAsia"/>
                <w:color w:val="000000"/>
                <w:spacing w:val="0"/>
                <w:w w:val="100"/>
                <w:position w:val="0"/>
                <w:sz w:val="24"/>
                <w:szCs w:val="24"/>
              </w:rPr>
              <w:t>第二十七条</w:t>
            </w:r>
            <w:r>
              <w:rPr>
                <w:rFonts w:hint="eastAsia"/>
                <w:color w:val="000000"/>
                <w:spacing w:val="0"/>
                <w:w w:val="100"/>
                <w:position w:val="0"/>
                <w:sz w:val="24"/>
                <w:szCs w:val="24"/>
                <w:lang w:val="en-US" w:eastAsia="zh-CN"/>
              </w:rPr>
              <w:t xml:space="preserve">  </w:t>
            </w:r>
            <w:r>
              <w:rPr>
                <w:rFonts w:hint="eastAsia"/>
                <w:color w:val="000000"/>
                <w:spacing w:val="0"/>
                <w:w w:val="100"/>
                <w:position w:val="0"/>
                <w:sz w:val="24"/>
                <w:szCs w:val="24"/>
              </w:rPr>
              <w:t>被许可企业以欺骗、贿赂等不正当手段取</w:t>
            </w:r>
            <w:r>
              <w:rPr>
                <w:rFonts w:hint="eastAsia"/>
                <w:color w:val="000000"/>
                <w:spacing w:val="0"/>
                <w:w w:val="100"/>
                <w:position w:val="0"/>
                <w:sz w:val="24"/>
                <w:szCs w:val="24"/>
                <w:lang w:eastAsia="zh-CN"/>
              </w:rPr>
              <w:t>得</w:t>
            </w:r>
            <w:r>
              <w:rPr>
                <w:rFonts w:hint="eastAsia"/>
                <w:color w:val="000000"/>
                <w:spacing w:val="0"/>
                <w:w w:val="100"/>
                <w:position w:val="0"/>
                <w:sz w:val="24"/>
                <w:szCs w:val="24"/>
              </w:rPr>
              <w:t>行政许可的，应当予以撤销，申请企业在3年内不得再次申请铁路运输许可。</w:t>
            </w:r>
          </w:p>
          <w:p>
            <w:pPr>
              <w:pStyle w:val="12"/>
              <w:keepNext w:val="0"/>
              <w:keepLines w:val="0"/>
              <w:widowControl w:val="0"/>
              <w:shd w:val="clear" w:color="auto" w:fill="auto"/>
              <w:bidi w:val="0"/>
              <w:spacing w:before="0" w:after="0" w:line="317" w:lineRule="exact"/>
              <w:ind w:left="0" w:right="0" w:firstLine="480" w:firstLineChars="200"/>
              <w:jc w:val="left"/>
              <w:rPr>
                <w:rFonts w:hint="eastAsia"/>
                <w:color w:val="000000"/>
                <w:spacing w:val="0"/>
                <w:w w:val="100"/>
                <w:position w:val="0"/>
                <w:sz w:val="24"/>
                <w:szCs w:val="24"/>
              </w:rPr>
            </w:pPr>
            <w:r>
              <w:rPr>
                <w:rFonts w:hint="eastAsia"/>
                <w:color w:val="000000"/>
                <w:spacing w:val="0"/>
                <w:w w:val="100"/>
                <w:position w:val="0"/>
                <w:sz w:val="24"/>
                <w:szCs w:val="24"/>
              </w:rPr>
              <w:t>8、《国内水路运输管理条例》</w:t>
            </w:r>
          </w:p>
          <w:p>
            <w:pPr>
              <w:pStyle w:val="12"/>
              <w:keepNext w:val="0"/>
              <w:keepLines w:val="0"/>
              <w:widowControl w:val="0"/>
              <w:shd w:val="clear" w:color="auto" w:fill="auto"/>
              <w:bidi w:val="0"/>
              <w:spacing w:before="0" w:after="0" w:line="317" w:lineRule="exact"/>
              <w:ind w:left="0" w:right="0" w:firstLine="480" w:firstLineChars="200"/>
              <w:jc w:val="left"/>
              <w:rPr>
                <w:rFonts w:hint="eastAsia"/>
                <w:color w:val="000000"/>
                <w:spacing w:val="0"/>
                <w:w w:val="100"/>
                <w:position w:val="0"/>
                <w:sz w:val="24"/>
                <w:szCs w:val="24"/>
              </w:rPr>
            </w:pPr>
            <w:r>
              <w:rPr>
                <w:rFonts w:hint="eastAsia"/>
                <w:color w:val="000000"/>
                <w:spacing w:val="0"/>
                <w:w w:val="100"/>
                <w:position w:val="0"/>
                <w:sz w:val="24"/>
                <w:szCs w:val="24"/>
              </w:rPr>
              <w:t>第五条</w:t>
            </w:r>
            <w:r>
              <w:rPr>
                <w:rFonts w:hint="eastAsia"/>
                <w:color w:val="000000"/>
                <w:spacing w:val="0"/>
                <w:w w:val="100"/>
                <w:position w:val="0"/>
                <w:sz w:val="24"/>
                <w:szCs w:val="24"/>
                <w:lang w:val="en-US" w:eastAsia="zh-CN"/>
              </w:rPr>
              <w:t xml:space="preserve">  </w:t>
            </w:r>
            <w:r>
              <w:rPr>
                <w:rFonts w:hint="eastAsia"/>
                <w:color w:val="000000"/>
                <w:spacing w:val="0"/>
                <w:w w:val="100"/>
                <w:position w:val="0"/>
                <w:sz w:val="24"/>
                <w:szCs w:val="24"/>
              </w:rPr>
              <w:t>经营水路运输及其辅助业务，应当遵守法律、法规，试实守信。</w:t>
            </w:r>
          </w:p>
          <w:p>
            <w:pPr>
              <w:pStyle w:val="12"/>
              <w:keepNext w:val="0"/>
              <w:keepLines w:val="0"/>
              <w:widowControl w:val="0"/>
              <w:shd w:val="clear" w:color="auto" w:fill="auto"/>
              <w:bidi w:val="0"/>
              <w:spacing w:before="0" w:after="0" w:line="317" w:lineRule="exact"/>
              <w:ind w:left="0" w:right="0" w:firstLine="480" w:firstLineChars="200"/>
              <w:jc w:val="left"/>
              <w:rPr>
                <w:rFonts w:hint="eastAsia" w:eastAsia="宋体"/>
                <w:color w:val="000000"/>
                <w:spacing w:val="0"/>
                <w:w w:val="100"/>
                <w:position w:val="0"/>
                <w:sz w:val="24"/>
                <w:szCs w:val="24"/>
                <w:lang w:eastAsia="zh-CN"/>
              </w:rPr>
            </w:pPr>
            <w:r>
              <w:rPr>
                <w:rFonts w:hint="eastAsia"/>
                <w:color w:val="000000"/>
                <w:spacing w:val="0"/>
                <w:w w:val="100"/>
                <w:position w:val="0"/>
                <w:sz w:val="24"/>
                <w:szCs w:val="24"/>
              </w:rPr>
              <w:t>国务院交通运输主管部门依法对水路运输市场实施监督管理，对水路运输及其辅助业务的违法经营活动实施处罚，并建立经营者诚信管理制度，及时向</w:t>
            </w:r>
            <w:r>
              <w:rPr>
                <w:rFonts w:hint="eastAsia"/>
                <w:color w:val="000000"/>
                <w:spacing w:val="0"/>
                <w:w w:val="100"/>
                <w:position w:val="0"/>
                <w:sz w:val="24"/>
                <w:szCs w:val="24"/>
                <w:lang w:eastAsia="zh-CN"/>
              </w:rPr>
              <w:t>社会公告监督检查情况。</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color w:val="000000"/>
                <w:spacing w:val="0"/>
                <w:w w:val="100"/>
                <w:position w:val="0"/>
                <w:sz w:val="24"/>
                <w:szCs w:val="24"/>
              </w:rPr>
            </w:pPr>
          </w:p>
        </w:tc>
      </w:tr>
      <w:tr>
        <w:tblPrEx>
          <w:tblCellMar>
            <w:top w:w="0" w:type="dxa"/>
            <w:left w:w="10" w:type="dxa"/>
            <w:bottom w:w="0" w:type="dxa"/>
            <w:right w:w="10" w:type="dxa"/>
          </w:tblCellMar>
        </w:tblPrEx>
        <w:trPr>
          <w:trHeight w:val="2438"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ascii="Times New Roman" w:hAnsi="Times New Roman" w:eastAsia="宋体" w:cs="Times New Roman"/>
                <w:b/>
                <w:bCs/>
                <w:color w:val="000000"/>
                <w:spacing w:val="0"/>
                <w:w w:val="100"/>
                <w:position w:val="0"/>
                <w:sz w:val="22"/>
                <w:szCs w:val="22"/>
                <w:lang w:eastAsia="zh-CN"/>
              </w:rPr>
            </w:pPr>
            <w:r>
              <w:rPr>
                <w:rFonts w:hint="eastAsia" w:ascii="宋体" w:hAnsi="宋体" w:eastAsia="宋体" w:cs="宋体"/>
                <w:color w:val="000000"/>
                <w:spacing w:val="0"/>
                <w:w w:val="100"/>
                <w:position w:val="0"/>
                <w:sz w:val="24"/>
                <w:szCs w:val="24"/>
                <w:lang w:val="zh-CN" w:eastAsia="zh-CN" w:bidi="zh-CN"/>
              </w:rPr>
              <w:t>2、</w:t>
            </w:r>
            <w:r>
              <w:rPr>
                <w:rFonts w:hint="eastAsia" w:ascii="宋体" w:hAnsi="宋体" w:eastAsia="宋体" w:cs="宋体"/>
                <w:color w:val="000000"/>
                <w:spacing w:val="0"/>
                <w:w w:val="100"/>
                <w:position w:val="0"/>
                <w:sz w:val="24"/>
                <w:szCs w:val="24"/>
              </w:rPr>
              <w:t>对失信主体申请从事寄递物流业务的，在经营许可方面依法实行限制性管理措施</w:t>
            </w:r>
            <w:r>
              <w:rPr>
                <w:rFonts w:hint="eastAsia" w:cs="宋体"/>
                <w:color w:val="000000"/>
                <w:spacing w:val="0"/>
                <w:w w:val="100"/>
                <w:position w:val="0"/>
                <w:sz w:val="24"/>
                <w:szCs w:val="24"/>
                <w:lang w:eastAsia="zh-CN"/>
              </w:rPr>
              <w:t>。</w:t>
            </w:r>
          </w:p>
        </w:tc>
        <w:tc>
          <w:tcPr>
            <w:tcW w:w="9400" w:type="dxa"/>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480" w:firstLineChars="200"/>
              <w:jc w:val="left"/>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1、《快递市场管理办法》</w:t>
            </w:r>
          </w:p>
          <w:p>
            <w:pPr>
              <w:pStyle w:val="12"/>
              <w:keepNext w:val="0"/>
              <w:keepLines w:val="0"/>
              <w:widowControl w:val="0"/>
              <w:shd w:val="clear" w:color="auto" w:fill="auto"/>
              <w:bidi w:val="0"/>
              <w:spacing w:before="0" w:after="0" w:line="240" w:lineRule="auto"/>
              <w:ind w:left="0" w:right="0" w:firstLine="480" w:firstLineChars="200"/>
              <w:jc w:val="left"/>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第四条</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经营快递业务的企业应当依法经营，诚实守信，公平竞争，为用户提供迅速、准确、安</w:t>
            </w:r>
            <w:r>
              <w:rPr>
                <w:rFonts w:hint="eastAsia" w:cs="宋体"/>
                <w:color w:val="000000"/>
                <w:spacing w:val="0"/>
                <w:w w:val="100"/>
                <w:position w:val="0"/>
                <w:sz w:val="24"/>
                <w:szCs w:val="24"/>
                <w:lang w:eastAsia="zh-CN"/>
              </w:rPr>
              <w:t>全、</w:t>
            </w:r>
            <w:r>
              <w:rPr>
                <w:rFonts w:hint="eastAsia" w:ascii="宋体" w:hAnsi="宋体" w:eastAsia="宋体" w:cs="宋体"/>
                <w:color w:val="000000"/>
                <w:spacing w:val="0"/>
                <w:w w:val="100"/>
                <w:position w:val="0"/>
                <w:sz w:val="24"/>
                <w:szCs w:val="24"/>
              </w:rPr>
              <w:t>方便的快递服务。</w:t>
            </w:r>
          </w:p>
          <w:p>
            <w:pPr>
              <w:pStyle w:val="12"/>
              <w:keepNext w:val="0"/>
              <w:keepLines w:val="0"/>
              <w:widowControl w:val="0"/>
              <w:shd w:val="clear" w:color="auto" w:fill="auto"/>
              <w:bidi w:val="0"/>
              <w:spacing w:before="0" w:after="0" w:line="240" w:lineRule="auto"/>
              <w:ind w:left="0" w:right="0" w:firstLine="480" w:firstLineChars="200"/>
              <w:jc w:val="left"/>
              <w:rPr>
                <w:color w:val="000000"/>
                <w:spacing w:val="0"/>
                <w:w w:val="100"/>
                <w:position w:val="0"/>
                <w:sz w:val="24"/>
                <w:szCs w:val="24"/>
              </w:rPr>
            </w:pPr>
            <w:r>
              <w:rPr>
                <w:rFonts w:hint="eastAsia" w:ascii="宋体" w:hAnsi="宋体" w:eastAsia="宋体" w:cs="宋体"/>
                <w:color w:val="000000"/>
                <w:spacing w:val="0"/>
                <w:w w:val="100"/>
                <w:position w:val="0"/>
                <w:sz w:val="24"/>
                <w:szCs w:val="24"/>
              </w:rPr>
              <w:t>第九条</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国家对快递业务实行经营许可制度。经营快递业务，应当依照《中华人民共和国邮政法》的规定，向邮政管理部门提出申请，取得快递业务经营许可；未经许可，任何单位和个人不得经营快递业务。</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ascii="Times New Roman" w:hAnsi="Times New Roman" w:eastAsia="宋体" w:cs="Times New Roman"/>
                <w:b/>
                <w:bCs/>
                <w:color w:val="000000"/>
                <w:spacing w:val="0"/>
                <w:w w:val="100"/>
                <w:position w:val="0"/>
                <w:sz w:val="22"/>
                <w:szCs w:val="22"/>
                <w:lang w:eastAsia="zh-CN"/>
              </w:rPr>
            </w:pPr>
            <w:r>
              <w:rPr>
                <w:rFonts w:hint="eastAsia" w:ascii="宋体" w:hAnsi="宋体" w:eastAsia="宋体" w:cs="宋体"/>
                <w:color w:val="000000"/>
                <w:spacing w:val="0"/>
                <w:w w:val="100"/>
                <w:position w:val="0"/>
                <w:sz w:val="24"/>
                <w:szCs w:val="24"/>
                <w:lang w:eastAsia="zh-CN"/>
              </w:rPr>
              <w:t>国家邮政局</w:t>
            </w:r>
          </w:p>
        </w:tc>
      </w:tr>
      <w:tr>
        <w:tblPrEx>
          <w:tblCellMar>
            <w:top w:w="0" w:type="dxa"/>
            <w:left w:w="10" w:type="dxa"/>
            <w:bottom w:w="0" w:type="dxa"/>
            <w:right w:w="10" w:type="dxa"/>
          </w:tblCellMar>
        </w:tblPrEx>
        <w:trPr>
          <w:trHeight w:val="2578"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zh-CN" w:eastAsia="zh-CN" w:bidi="zh-CN"/>
              </w:rPr>
            </w:pPr>
          </w:p>
        </w:tc>
        <w:tc>
          <w:tcPr>
            <w:tcW w:w="9400" w:type="dxa"/>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480" w:firstLineChars="200"/>
              <w:jc w:val="left"/>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第十条</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邮政管理部门根据企业的服务能力审核经营许可的业务范围和地域范围，对符合规定条件的，发放快递业务经营许可证，并注明经营许可的业务范围和地域范围。</w:t>
            </w:r>
          </w:p>
          <w:p>
            <w:pPr>
              <w:pStyle w:val="12"/>
              <w:keepNext w:val="0"/>
              <w:keepLines w:val="0"/>
              <w:widowControl w:val="0"/>
              <w:shd w:val="clear" w:color="auto" w:fill="auto"/>
              <w:bidi w:val="0"/>
              <w:spacing w:before="0" w:after="0" w:line="240" w:lineRule="auto"/>
              <w:ind w:left="0" w:right="0" w:firstLine="480" w:firstLineChars="200"/>
              <w:jc w:val="left"/>
              <w:rPr>
                <w:rFonts w:hint="eastAsia" w:ascii="宋体" w:hAnsi="宋体" w:eastAsia="宋体" w:cs="宋体"/>
                <w:color w:val="000000"/>
                <w:spacing w:val="0"/>
                <w:w w:val="100"/>
                <w:position w:val="0"/>
                <w:sz w:val="24"/>
                <w:szCs w:val="24"/>
              </w:rPr>
            </w:pPr>
            <w:bookmarkStart w:id="43" w:name="bookmark46"/>
            <w:r>
              <w:rPr>
                <w:rFonts w:hint="eastAsia" w:ascii="宋体" w:hAnsi="宋体" w:eastAsia="宋体" w:cs="宋体"/>
                <w:color w:val="000000"/>
                <w:spacing w:val="0"/>
                <w:w w:val="100"/>
                <w:position w:val="0"/>
                <w:sz w:val="24"/>
                <w:szCs w:val="24"/>
              </w:rPr>
              <w:t>2</w:t>
            </w:r>
            <w:bookmarkEnd w:id="43"/>
            <w:r>
              <w:rPr>
                <w:rFonts w:hint="eastAsia" w:ascii="宋体" w:hAnsi="宋体" w:eastAsia="宋体" w:cs="宋体"/>
                <w:color w:val="000000"/>
                <w:spacing w:val="0"/>
                <w:w w:val="100"/>
                <w:position w:val="0"/>
                <w:sz w:val="24"/>
                <w:szCs w:val="24"/>
              </w:rPr>
              <w:t>、《关于全面加强电子商务领域诚信建设的指导意见》</w:t>
            </w:r>
          </w:p>
          <w:p>
            <w:pPr>
              <w:pStyle w:val="12"/>
              <w:keepNext w:val="0"/>
              <w:keepLines w:val="0"/>
              <w:widowControl w:val="0"/>
              <w:shd w:val="clear" w:color="auto" w:fill="auto"/>
              <w:bidi w:val="0"/>
              <w:spacing w:before="0" w:after="0" w:line="240" w:lineRule="auto"/>
              <w:ind w:left="0" w:right="0" w:firstLine="480" w:firstLineChars="200"/>
              <w:jc w:val="left"/>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九）建立事前信用承诺制度。全面建立市场主体事前信用承诺制度，推动电子商务平台、入驻商家、个人卖家、物流企业等提供商品销售和服务的市场主体就遵纪守法、信息真实性、产品质量、服务保证、承担的责任与义务等情况作出信用承诺，以规范格式向社会公开，并承诺违法失信后将自愿接受约束和惩戒。信用承诺事项纳入市场主体信用档案，接受社会监督，并作为事中事后监管的参考。</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p>
        </w:tc>
      </w:tr>
      <w:tr>
        <w:tblPrEx>
          <w:tblCellMar>
            <w:top w:w="0" w:type="dxa"/>
            <w:left w:w="10" w:type="dxa"/>
            <w:bottom w:w="0" w:type="dxa"/>
            <w:right w:w="10" w:type="dxa"/>
          </w:tblCellMar>
        </w:tblPrEx>
        <w:trPr>
          <w:trHeight w:val="3273"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360" w:lineRule="auto"/>
              <w:ind w:left="0" w:right="0" w:firstLine="0"/>
              <w:jc w:val="both"/>
              <w:rPr>
                <w:rFonts w:hint="eastAsia" w:ascii="宋体" w:hAnsi="宋体" w:eastAsia="宋体" w:cs="宋体"/>
                <w:color w:val="000000"/>
                <w:spacing w:val="0"/>
                <w:w w:val="100"/>
                <w:position w:val="0"/>
                <w:sz w:val="24"/>
                <w:szCs w:val="24"/>
                <w:u w:val="none"/>
                <w:shd w:val="clear" w:color="auto" w:fill="auto"/>
                <w:lang w:val="zh-TW" w:eastAsia="zh-TW" w:bidi="zh-TW"/>
              </w:rPr>
            </w:pPr>
            <w:r>
              <w:rPr>
                <w:rFonts w:hint="eastAsia" w:ascii="宋体" w:hAnsi="宋体" w:eastAsia="宋体" w:cs="宋体"/>
                <w:color w:val="000000"/>
                <w:spacing w:val="0"/>
                <w:w w:val="100"/>
                <w:position w:val="0"/>
                <w:sz w:val="24"/>
                <w:szCs w:val="24"/>
                <w:u w:val="none"/>
                <w:shd w:val="clear" w:color="auto" w:fill="auto"/>
                <w:lang w:val="zh-TW" w:eastAsia="zh-TW" w:bidi="zh-TW"/>
              </w:rPr>
              <w:t>3、对失信主体申请城市货运车辆通行证予以限制。</w:t>
            </w:r>
          </w:p>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zh-CN" w:eastAsia="zh-CN" w:bidi="zh-CN"/>
              </w:rPr>
            </w:pPr>
          </w:p>
        </w:tc>
        <w:tc>
          <w:tcPr>
            <w:tcW w:w="9400" w:type="dxa"/>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480" w:firstLineChars="200"/>
              <w:jc w:val="left"/>
              <w:rPr>
                <w:rFonts w:hint="eastAsia" w:ascii="宋体" w:hAnsi="宋体" w:eastAsia="宋体" w:cs="宋体"/>
                <w:color w:val="000000"/>
                <w:spacing w:val="0"/>
                <w:w w:val="100"/>
                <w:position w:val="0"/>
                <w:sz w:val="24"/>
                <w:szCs w:val="24"/>
              </w:rPr>
            </w:pPr>
            <w:bookmarkStart w:id="44" w:name="bookmark47"/>
            <w:r>
              <w:rPr>
                <w:rFonts w:hint="eastAsia" w:ascii="宋体" w:hAnsi="宋体" w:eastAsia="宋体" w:cs="宋体"/>
                <w:color w:val="000000"/>
                <w:spacing w:val="0"/>
                <w:w w:val="100"/>
                <w:position w:val="0"/>
                <w:sz w:val="24"/>
                <w:szCs w:val="24"/>
              </w:rPr>
              <w:t>1</w:t>
            </w:r>
            <w:bookmarkEnd w:id="44"/>
            <w:r>
              <w:rPr>
                <w:rFonts w:hint="eastAsia" w:ascii="宋体" w:hAnsi="宋体" w:eastAsia="宋体" w:cs="宋体"/>
                <w:color w:val="000000"/>
                <w:spacing w:val="0"/>
                <w:w w:val="100"/>
                <w:position w:val="0"/>
                <w:sz w:val="24"/>
                <w:szCs w:val="24"/>
              </w:rPr>
              <w:t>、《交通运输部公安部商务部关于加强城市配送运输与车辆通行管理工作的通知》</w:t>
            </w:r>
          </w:p>
          <w:p>
            <w:pPr>
              <w:pStyle w:val="12"/>
              <w:keepNext w:val="0"/>
              <w:keepLines w:val="0"/>
              <w:widowControl w:val="0"/>
              <w:shd w:val="clear" w:color="auto" w:fill="auto"/>
              <w:bidi w:val="0"/>
              <w:spacing w:before="0" w:after="0" w:line="240" w:lineRule="auto"/>
              <w:ind w:left="0" w:right="0" w:firstLine="480" w:firstLineChars="200"/>
              <w:jc w:val="left"/>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五、优化城市配送车辆通行管理措施</w:t>
            </w:r>
          </w:p>
          <w:p>
            <w:pPr>
              <w:pStyle w:val="12"/>
              <w:keepNext w:val="0"/>
              <w:keepLines w:val="0"/>
              <w:widowControl w:val="0"/>
              <w:shd w:val="clear" w:color="auto" w:fill="auto"/>
              <w:bidi w:val="0"/>
              <w:spacing w:before="0" w:after="0" w:line="240" w:lineRule="auto"/>
              <w:ind w:left="0" w:right="0" w:firstLine="480" w:firstLineChars="2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zh-CN" w:eastAsia="zh-CN"/>
              </w:rPr>
              <w:t>对</w:t>
            </w:r>
            <w:r>
              <w:rPr>
                <w:rFonts w:hint="eastAsia" w:ascii="宋体" w:hAnsi="宋体" w:eastAsia="宋体" w:cs="宋体"/>
                <w:color w:val="000000"/>
                <w:spacing w:val="0"/>
                <w:w w:val="100"/>
                <w:position w:val="0"/>
                <w:sz w:val="24"/>
                <w:szCs w:val="24"/>
              </w:rPr>
              <w:t>于配送车辆在行驶时间和区域方面采取限制和禁止通行措施的城市，城市公安机关交通管理部门应当会同交通运输主管部门，按照保证需求、便利通行、分类管理、适度调控的原则，结合城市配送运力调控计划，加快建立公开、公平、公正、择优的配送车辆通行调控机制，制定出台保障配送车</w:t>
            </w:r>
            <w:r>
              <w:rPr>
                <w:rFonts w:hint="eastAsia" w:cs="宋体"/>
                <w:color w:val="000000"/>
                <w:spacing w:val="0"/>
                <w:w w:val="100"/>
                <w:position w:val="0"/>
                <w:sz w:val="24"/>
                <w:szCs w:val="24"/>
                <w:lang w:eastAsia="zh-CN"/>
              </w:rPr>
              <w:t>辆</w:t>
            </w:r>
            <w:r>
              <w:rPr>
                <w:rFonts w:hint="eastAsia" w:ascii="宋体" w:hAnsi="宋体" w:eastAsia="宋体" w:cs="宋体"/>
                <w:color w:val="000000"/>
                <w:spacing w:val="0"/>
                <w:w w:val="100"/>
                <w:position w:val="0"/>
                <w:sz w:val="24"/>
                <w:szCs w:val="24"/>
              </w:rPr>
              <w:t>通行便利的管理政策。在实施配送车辆通行管理中，对从事生活必需品配送的企业、从事鲜活农产品和冷藏保鲜产品配送的企业、使用新能源和清洁能源车辆从事配送业务的企业、开展共同（集中）配送的企业、服务质量信誉考核为</w:t>
            </w:r>
            <w:r>
              <w:rPr>
                <w:rFonts w:hint="eastAsia" w:ascii="宋体" w:hAnsi="宋体" w:eastAsia="宋体" w:cs="宋体"/>
                <w:color w:val="000000"/>
                <w:spacing w:val="0"/>
                <w:w w:val="100"/>
                <w:position w:val="0"/>
                <w:sz w:val="24"/>
                <w:szCs w:val="24"/>
                <w:lang w:val="en-US" w:eastAsia="en-US"/>
              </w:rPr>
              <w:t>AAA</w:t>
            </w:r>
            <w:r>
              <w:rPr>
                <w:rFonts w:hint="eastAsia" w:ascii="宋体" w:hAnsi="宋体" w:eastAsia="宋体" w:cs="宋体"/>
                <w:color w:val="000000"/>
                <w:spacing w:val="0"/>
                <w:w w:val="100"/>
                <w:position w:val="0"/>
                <w:sz w:val="24"/>
                <w:szCs w:val="24"/>
              </w:rPr>
              <w:t>级的企业以及规模较大的网络型零担运输和快递企业、自有大型配送中心的运输企业，可优先考虑给予其通行便利。</w:t>
            </w:r>
          </w:p>
          <w:p>
            <w:pPr>
              <w:pStyle w:val="12"/>
              <w:keepNext w:val="0"/>
              <w:keepLines w:val="0"/>
              <w:widowControl w:val="0"/>
              <w:shd w:val="clear" w:color="auto" w:fill="auto"/>
              <w:bidi w:val="0"/>
              <w:spacing w:before="0" w:after="0" w:line="240" w:lineRule="auto"/>
              <w:ind w:left="0" w:right="0" w:firstLine="480" w:firstLineChars="200"/>
              <w:jc w:val="left"/>
              <w:rPr>
                <w:rFonts w:hint="eastAsia" w:ascii="宋体" w:hAnsi="宋体" w:eastAsia="宋体" w:cs="宋体"/>
                <w:color w:val="000000"/>
                <w:spacing w:val="0"/>
                <w:w w:val="100"/>
                <w:position w:val="0"/>
                <w:sz w:val="24"/>
                <w:szCs w:val="24"/>
              </w:rPr>
            </w:pP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地方公安机关</w:t>
            </w:r>
          </w:p>
        </w:tc>
      </w:tr>
      <w:tr>
        <w:tblPrEx>
          <w:tblCellMar>
            <w:top w:w="0" w:type="dxa"/>
            <w:left w:w="10" w:type="dxa"/>
            <w:bottom w:w="0" w:type="dxa"/>
            <w:right w:w="10" w:type="dxa"/>
          </w:tblCellMar>
        </w:tblPrEx>
        <w:trPr>
          <w:trHeight w:val="2308"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360" w:lineRule="auto"/>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u w:val="none"/>
                <w:shd w:val="clear" w:color="auto" w:fill="auto"/>
                <w:lang w:val="zh-TW" w:eastAsia="zh-TW" w:bidi="zh-TW"/>
              </w:rPr>
              <w:t>4、对失信主体作为供应商参加政府采购活 动依法予以限</w:t>
            </w:r>
            <w:r>
              <w:rPr>
                <w:rFonts w:hint="eastAsia" w:ascii="宋体" w:hAnsi="宋体" w:eastAsia="宋体" w:cs="宋体"/>
                <w:color w:val="000000"/>
                <w:spacing w:val="0"/>
                <w:w w:val="100"/>
                <w:position w:val="0"/>
                <w:sz w:val="24"/>
                <w:szCs w:val="24"/>
              </w:rPr>
              <w:t>制。</w:t>
            </w:r>
          </w:p>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zh-CN" w:eastAsia="zh-CN" w:bidi="zh-CN"/>
              </w:rPr>
            </w:pPr>
          </w:p>
        </w:tc>
        <w:tc>
          <w:tcPr>
            <w:tcW w:w="9400" w:type="dxa"/>
            <w:tcBorders>
              <w:top w:val="single" w:color="auto" w:sz="4" w:space="0"/>
              <w:left w:val="single" w:color="auto" w:sz="4" w:space="0"/>
              <w:bottom w:val="single" w:color="auto" w:sz="4" w:space="0"/>
            </w:tcBorders>
            <w:shd w:val="clear" w:color="auto" w:fill="FFFFFF"/>
            <w:vAlign w:val="top"/>
          </w:tcPr>
          <w:p>
            <w:pPr>
              <w:pStyle w:val="12"/>
              <w:keepNext w:val="0"/>
              <w:keepLines w:val="0"/>
              <w:widowControl w:val="0"/>
              <w:shd w:val="clear" w:color="auto" w:fill="auto"/>
              <w:bidi w:val="0"/>
              <w:spacing w:before="0" w:after="0" w:line="240" w:lineRule="auto"/>
              <w:ind w:left="0" w:right="0" w:firstLine="480" w:firstLineChars="200"/>
              <w:jc w:val="left"/>
              <w:rPr>
                <w:rFonts w:hint="eastAsia" w:ascii="宋体" w:hAnsi="宋体" w:eastAsia="宋体" w:cs="宋体"/>
                <w:color w:val="000000"/>
                <w:spacing w:val="0"/>
                <w:w w:val="100"/>
                <w:position w:val="0"/>
                <w:sz w:val="24"/>
                <w:szCs w:val="24"/>
              </w:rPr>
            </w:pPr>
            <w:bookmarkStart w:id="45" w:name="bookmark48"/>
            <w:r>
              <w:rPr>
                <w:rFonts w:hint="eastAsia" w:ascii="宋体" w:hAnsi="宋体" w:eastAsia="宋体" w:cs="宋体"/>
                <w:color w:val="000000"/>
                <w:spacing w:val="0"/>
                <w:w w:val="100"/>
                <w:position w:val="0"/>
                <w:sz w:val="24"/>
                <w:szCs w:val="24"/>
              </w:rPr>
              <w:t>1</w:t>
            </w:r>
            <w:bookmarkEnd w:id="45"/>
            <w:r>
              <w:rPr>
                <w:rFonts w:hint="eastAsia" w:ascii="宋体" w:hAnsi="宋体" w:eastAsia="宋体" w:cs="宋体"/>
                <w:color w:val="000000"/>
                <w:spacing w:val="0"/>
                <w:w w:val="100"/>
                <w:position w:val="0"/>
                <w:sz w:val="24"/>
                <w:szCs w:val="24"/>
              </w:rPr>
              <w:t>、《国务院关于促进市场公平竞争维护市场正常秩序的若干意见》</w:t>
            </w:r>
          </w:p>
          <w:p>
            <w:pPr>
              <w:pStyle w:val="12"/>
              <w:keepNext w:val="0"/>
              <w:keepLines w:val="0"/>
              <w:widowControl w:val="0"/>
              <w:shd w:val="clear" w:color="auto" w:fill="auto"/>
              <w:bidi w:val="0"/>
              <w:spacing w:before="0" w:after="0" w:line="240" w:lineRule="auto"/>
              <w:ind w:left="0" w:right="0" w:firstLine="480" w:firstLineChars="200"/>
              <w:jc w:val="left"/>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（十五）建立健全守信激励和失信惩戒机制</w:t>
            </w:r>
            <w:r>
              <w:rPr>
                <w:rFonts w:hint="eastAsia" w:ascii="宋体" w:hAnsi="宋体" w:eastAsia="宋体" w:cs="宋体"/>
                <w:color w:val="000000"/>
                <w:spacing w:val="0"/>
                <w:w w:val="100"/>
                <w:position w:val="0"/>
                <w:sz w:val="24"/>
                <w:szCs w:val="24"/>
                <w:lang w:val="zh-CN" w:eastAsia="zh-CN"/>
              </w:rPr>
              <w:t>。对</w:t>
            </w:r>
            <w:r>
              <w:rPr>
                <w:rFonts w:hint="eastAsia" w:ascii="宋体" w:hAnsi="宋体" w:eastAsia="宋体" w:cs="宋体"/>
                <w:color w:val="000000"/>
                <w:spacing w:val="0"/>
                <w:w w:val="100"/>
                <w:position w:val="0"/>
                <w:sz w:val="24"/>
                <w:szCs w:val="24"/>
              </w:rPr>
              <w:t>守信主体予以支持和激励，对失信主体在经营、投融资、取得政府供应土地、进出口、出入境、注册新公司、工程招投标、政府釆购、获得荣誉、安全许可、生产许可、从业任职资格、资质审核等方面依法予以限制或禁止，对产重违法失信主体实行市场禁入制度。</w:t>
            </w:r>
          </w:p>
          <w:p>
            <w:pPr>
              <w:pStyle w:val="12"/>
              <w:keepNext w:val="0"/>
              <w:keepLines w:val="0"/>
              <w:widowControl w:val="0"/>
              <w:shd w:val="clear" w:color="auto" w:fill="auto"/>
              <w:bidi w:val="0"/>
              <w:spacing w:before="0" w:after="0" w:line="240" w:lineRule="auto"/>
              <w:ind w:left="0" w:right="0" w:firstLine="480" w:firstLineChars="200"/>
              <w:jc w:val="left"/>
              <w:rPr>
                <w:rFonts w:hint="eastAsia" w:ascii="宋体" w:hAnsi="宋体" w:eastAsia="宋体" w:cs="宋体"/>
                <w:color w:val="000000"/>
                <w:spacing w:val="0"/>
                <w:w w:val="100"/>
                <w:position w:val="0"/>
                <w:sz w:val="24"/>
                <w:szCs w:val="24"/>
              </w:rPr>
            </w:pPr>
            <w:bookmarkStart w:id="46" w:name="bookmark49"/>
            <w:r>
              <w:rPr>
                <w:rFonts w:hint="eastAsia" w:ascii="宋体" w:hAnsi="宋体" w:eastAsia="宋体" w:cs="宋体"/>
                <w:color w:val="000000"/>
                <w:spacing w:val="0"/>
                <w:w w:val="100"/>
                <w:position w:val="0"/>
                <w:sz w:val="24"/>
                <w:szCs w:val="24"/>
              </w:rPr>
              <w:t>2</w:t>
            </w:r>
            <w:bookmarkEnd w:id="46"/>
            <w:r>
              <w:rPr>
                <w:rFonts w:hint="eastAsia" w:ascii="宋体" w:hAnsi="宋体" w:eastAsia="宋体" w:cs="宋体"/>
                <w:color w:val="000000"/>
                <w:spacing w:val="0"/>
                <w:w w:val="100"/>
                <w:position w:val="0"/>
                <w:sz w:val="24"/>
                <w:szCs w:val="24"/>
              </w:rPr>
              <w:t>、《国务院办公厅关于运用大数据加强对市场主体服务和监管的若干意见》</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财政部</w:t>
            </w:r>
          </w:p>
        </w:tc>
      </w:tr>
      <w:tr>
        <w:tblPrEx>
          <w:tblCellMar>
            <w:top w:w="0" w:type="dxa"/>
            <w:left w:w="10" w:type="dxa"/>
            <w:bottom w:w="0" w:type="dxa"/>
            <w:right w:w="10" w:type="dxa"/>
          </w:tblCellMar>
        </w:tblPrEx>
        <w:trPr>
          <w:trHeight w:val="5478"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zh-CN" w:eastAsia="zh-CN" w:bidi="zh-CN"/>
              </w:rPr>
            </w:pPr>
          </w:p>
        </w:tc>
        <w:tc>
          <w:tcPr>
            <w:tcW w:w="9400" w:type="dxa"/>
            <w:tcBorders>
              <w:top w:val="single" w:color="auto" w:sz="4" w:space="0"/>
              <w:left w:val="single" w:color="auto" w:sz="4" w:space="0"/>
              <w:bottom w:val="single" w:color="auto" w:sz="4" w:space="0"/>
            </w:tcBorders>
            <w:shd w:val="clear" w:color="auto" w:fill="FFFFFF"/>
            <w:vAlign w:val="top"/>
          </w:tcPr>
          <w:p>
            <w:pPr>
              <w:pStyle w:val="30"/>
              <w:keepNext w:val="0"/>
              <w:keepLines w:val="0"/>
              <w:pageBreakBefore w:val="0"/>
              <w:widowControl w:val="0"/>
              <w:numPr>
                <w:ilvl w:val="0"/>
                <w:numId w:val="5"/>
              </w:numPr>
              <w:shd w:val="clear" w:color="auto" w:fill="auto"/>
              <w:kinsoku/>
              <w:wordWrap/>
              <w:overflowPunct/>
              <w:topLinePunct w:val="0"/>
              <w:autoSpaceDE/>
              <w:autoSpaceDN/>
              <w:bidi w:val="0"/>
              <w:adjustRightInd/>
              <w:snapToGrid/>
              <w:spacing w:before="0" w:after="0" w:line="240" w:lineRule="auto"/>
              <w:ind w:left="0" w:leftChars="0" w:right="0" w:firstLine="480" w:firstLineChars="200"/>
              <w:jc w:val="both"/>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建立健全失信联合惩戒机制。充分发挥行政、司法、金融、社会等领域的综合监管效能，在市场准入、行政审批、资质认定、享受财政补贴和税收优惠政策、企业法定代表人</w:t>
            </w:r>
            <w:r>
              <w:rPr>
                <w:rFonts w:hint="eastAsia" w:cs="宋体"/>
                <w:color w:val="000000"/>
                <w:spacing w:val="0"/>
                <w:w w:val="100"/>
                <w:position w:val="0"/>
                <w:sz w:val="24"/>
                <w:szCs w:val="24"/>
                <w:lang w:eastAsia="zh-CN"/>
              </w:rPr>
              <w:t>和</w:t>
            </w:r>
            <w:r>
              <w:rPr>
                <w:rFonts w:hint="eastAsia" w:ascii="宋体" w:hAnsi="宋体" w:eastAsia="宋体" w:cs="宋体"/>
                <w:color w:val="000000"/>
                <w:spacing w:val="0"/>
                <w:w w:val="100"/>
                <w:position w:val="0"/>
                <w:sz w:val="24"/>
                <w:szCs w:val="24"/>
              </w:rPr>
              <w:t>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w:t>
            </w:r>
            <w:r>
              <w:rPr>
                <w:rFonts w:hint="eastAsia" w:cs="宋体"/>
                <w:color w:val="000000"/>
                <w:spacing w:val="0"/>
                <w:w w:val="100"/>
                <w:position w:val="0"/>
                <w:sz w:val="24"/>
                <w:szCs w:val="24"/>
                <w:lang w:eastAsia="zh-CN"/>
              </w:rPr>
              <w:t>面</w:t>
            </w:r>
            <w:r>
              <w:rPr>
                <w:rFonts w:hint="eastAsia" w:ascii="宋体" w:hAnsi="宋体" w:eastAsia="宋体" w:cs="宋体"/>
                <w:color w:val="000000"/>
                <w:spacing w:val="0"/>
                <w:w w:val="100"/>
                <w:position w:val="0"/>
                <w:sz w:val="24"/>
                <w:szCs w:val="24"/>
              </w:rPr>
              <w:t>,建立跨部门联动响应和失信约束机制，对违法失信主体依法予以限制或禁入。建立各行业</w:t>
            </w:r>
            <w:r>
              <w:rPr>
                <w:rFonts w:hint="eastAsia" w:ascii="宋体" w:hAnsi="宋体" w:eastAsia="宋体" w:cs="宋体"/>
                <w:color w:val="000000"/>
                <w:spacing w:val="0"/>
                <w:w w:val="100"/>
                <w:position w:val="0"/>
                <w:sz w:val="24"/>
                <w:szCs w:val="24"/>
                <w:lang w:val="zh-CN" w:eastAsia="zh-CN" w:bidi="zh-CN"/>
              </w:rPr>
              <w:t>“</w:t>
            </w:r>
            <w:r>
              <w:rPr>
                <w:rFonts w:hint="eastAsia" w:cs="宋体"/>
                <w:color w:val="000000"/>
                <w:spacing w:val="0"/>
                <w:w w:val="100"/>
                <w:position w:val="0"/>
                <w:sz w:val="24"/>
                <w:szCs w:val="24"/>
                <w:lang w:val="zh-CN" w:eastAsia="zh-CN" w:bidi="zh-CN"/>
              </w:rPr>
              <w:t>黑</w:t>
            </w:r>
            <w:r>
              <w:rPr>
                <w:rFonts w:hint="eastAsia" w:ascii="宋体" w:hAnsi="宋体" w:eastAsia="宋体" w:cs="宋体"/>
                <w:color w:val="000000"/>
                <w:spacing w:val="0"/>
                <w:w w:val="100"/>
                <w:position w:val="0"/>
                <w:sz w:val="24"/>
                <w:szCs w:val="24"/>
              </w:rPr>
              <w:t>名单”制度和市场退出机制。推动将申请人良好的信用状况作为各类行政许可的必备条件。</w:t>
            </w:r>
            <w:bookmarkStart w:id="47" w:name="bookmark50"/>
          </w:p>
          <w:p>
            <w:pPr>
              <w:pStyle w:val="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24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3</w:t>
            </w:r>
            <w:bookmarkEnd w:id="47"/>
            <w:r>
              <w:rPr>
                <w:rFonts w:hint="eastAsia" w:ascii="宋体" w:hAnsi="宋体" w:eastAsia="宋体" w:cs="宋体"/>
                <w:color w:val="000000"/>
                <w:spacing w:val="0"/>
                <w:w w:val="100"/>
                <w:position w:val="0"/>
                <w:sz w:val="24"/>
                <w:szCs w:val="24"/>
              </w:rPr>
              <w:t>、《中华人民共和国政府采购法》</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right="0" w:firstLine="480" w:firstLineChars="200"/>
              <w:jc w:val="both"/>
              <w:textAlignment w:val="auto"/>
              <w:rPr>
                <w:rFonts w:hint="eastAsia" w:ascii="宋体" w:hAnsi="宋体" w:eastAsia="宋体" w:cs="宋体"/>
                <w:sz w:val="24"/>
                <w:szCs w:val="24"/>
                <w:lang w:eastAsia="zh-CN"/>
              </w:rPr>
            </w:pPr>
            <w:r>
              <w:rPr>
                <w:rFonts w:hint="eastAsia" w:ascii="宋体" w:hAnsi="宋体" w:eastAsia="宋体" w:cs="宋体"/>
                <w:color w:val="000000"/>
                <w:spacing w:val="0"/>
                <w:w w:val="100"/>
                <w:position w:val="0"/>
                <w:sz w:val="24"/>
                <w:szCs w:val="24"/>
              </w:rPr>
              <w:t>第二十二条</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供应商参加政府采购活动应当具备下列条件</w:t>
            </w:r>
            <w:r>
              <w:rPr>
                <w:rFonts w:hint="eastAsia" w:ascii="宋体" w:hAnsi="宋体" w:eastAsia="宋体" w:cs="宋体"/>
                <w:color w:val="000000"/>
                <w:spacing w:val="0"/>
                <w:w w:val="100"/>
                <w:position w:val="0"/>
                <w:sz w:val="24"/>
                <w:szCs w:val="24"/>
                <w:lang w:val="en-US" w:eastAsia="en-US" w:bidi="en-US"/>
              </w:rPr>
              <w:t>：</w:t>
            </w:r>
            <w:r>
              <w:rPr>
                <w:rFonts w:hint="eastAsia" w:ascii="宋体" w:hAnsi="宋体" w:eastAsia="宋体" w:cs="宋体"/>
                <w:color w:val="000000"/>
                <w:spacing w:val="0"/>
                <w:w w:val="100"/>
                <w:position w:val="0"/>
                <w:sz w:val="24"/>
                <w:szCs w:val="24"/>
              </w:rPr>
              <w:t>（2）具有良好的商业信誉和健全的财务会计制度；</w:t>
            </w:r>
            <w:r>
              <w:rPr>
                <w:rFonts w:hint="eastAsia" w:ascii="宋体" w:hAnsi="宋体" w:eastAsia="宋体" w:cs="宋体"/>
                <w:color w:val="000000"/>
                <w:spacing w:val="0"/>
                <w:w w:val="100"/>
                <w:position w:val="0"/>
                <w:sz w:val="24"/>
                <w:szCs w:val="24"/>
                <w:lang w:val="en-US" w:eastAsia="en-US" w:bidi="en-US"/>
              </w:rPr>
              <w:t>（5</w:t>
            </w:r>
            <w:r>
              <w:rPr>
                <w:rFonts w:hint="eastAsia" w:ascii="宋体" w:hAnsi="宋体" w:eastAsia="宋体" w:cs="宋体"/>
                <w:color w:val="000000"/>
                <w:spacing w:val="0"/>
                <w:w w:val="100"/>
                <w:position w:val="0"/>
                <w:sz w:val="24"/>
                <w:szCs w:val="24"/>
              </w:rPr>
              <w:t>）参加政府釆购活动前三年内，在经营活动中没有重大违法记录</w:t>
            </w:r>
            <w:r>
              <w:rPr>
                <w:rFonts w:hint="eastAsia" w:cs="宋体"/>
                <w:color w:val="000000"/>
                <w:spacing w:val="0"/>
                <w:w w:val="100"/>
                <w:position w:val="0"/>
                <w:sz w:val="24"/>
                <w:szCs w:val="24"/>
                <w:lang w:eastAsia="zh-CN"/>
              </w:rPr>
              <w:t>。</w:t>
            </w:r>
          </w:p>
          <w:p>
            <w:pPr>
              <w:pStyle w:val="30"/>
              <w:keepNext w:val="0"/>
              <w:keepLines w:val="0"/>
              <w:pageBreakBefore w:val="0"/>
              <w:widowControl w:val="0"/>
              <w:shd w:val="clear" w:color="auto" w:fill="auto"/>
              <w:tabs>
                <w:tab w:val="left" w:pos="2550"/>
              </w:tabs>
              <w:kinsoku/>
              <w:wordWrap/>
              <w:overflowPunct/>
              <w:topLinePunct w:val="0"/>
              <w:autoSpaceDE/>
              <w:autoSpaceDN/>
              <w:bidi w:val="0"/>
              <w:adjustRightInd/>
              <w:snapToGrid/>
              <w:spacing w:before="0" w:after="0" w:line="240" w:lineRule="auto"/>
              <w:ind w:left="0" w:leftChars="0" w:right="0" w:firstLine="480" w:firstLineChars="200"/>
              <w:jc w:val="both"/>
              <w:textAlignment w:val="auto"/>
              <w:rPr>
                <w:rFonts w:hint="eastAsia" w:ascii="宋体" w:hAnsi="宋体" w:eastAsia="宋体" w:cs="宋体"/>
                <w:sz w:val="24"/>
                <w:szCs w:val="24"/>
              </w:rPr>
            </w:pPr>
            <w:bookmarkStart w:id="48" w:name="bookmark51"/>
            <w:r>
              <w:rPr>
                <w:rFonts w:hint="eastAsia" w:ascii="宋体" w:hAnsi="宋体" w:eastAsia="宋体" w:cs="宋体"/>
                <w:color w:val="000000"/>
                <w:spacing w:val="0"/>
                <w:w w:val="100"/>
                <w:position w:val="0"/>
                <w:sz w:val="24"/>
                <w:szCs w:val="24"/>
              </w:rPr>
              <w:t>4</w:t>
            </w:r>
            <w:bookmarkEnd w:id="48"/>
            <w:r>
              <w:rPr>
                <w:rFonts w:hint="eastAsia" w:ascii="宋体" w:hAnsi="宋体" w:eastAsia="宋体" w:cs="宋体"/>
                <w:color w:val="000000"/>
                <w:spacing w:val="0"/>
                <w:w w:val="100"/>
                <w:position w:val="0"/>
                <w:sz w:val="24"/>
                <w:szCs w:val="24"/>
              </w:rPr>
              <w:t>、《国务院关于印发社会信用体系建设规划纲要</w:t>
            </w:r>
            <w:r>
              <w:rPr>
                <w:rFonts w:hint="eastAsia" w:ascii="宋体" w:hAnsi="宋体" w:eastAsia="宋体" w:cs="宋体"/>
                <w:color w:val="000000"/>
                <w:spacing w:val="0"/>
                <w:w w:val="100"/>
                <w:position w:val="0"/>
                <w:sz w:val="24"/>
                <w:szCs w:val="24"/>
                <w:lang w:val="en-US" w:eastAsia="en-US" w:bidi="en-US"/>
              </w:rPr>
              <w:t>（2014-2020</w:t>
            </w:r>
            <w:r>
              <w:rPr>
                <w:rFonts w:hint="eastAsia" w:ascii="宋体" w:hAnsi="宋体" w:eastAsia="宋体" w:cs="宋体"/>
                <w:color w:val="000000"/>
                <w:spacing w:val="0"/>
                <w:w w:val="100"/>
                <w:position w:val="0"/>
                <w:sz w:val="24"/>
                <w:szCs w:val="24"/>
              </w:rPr>
              <w:t>年）的通知》</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第二部分</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推进重点领域诚信</w:t>
            </w:r>
            <w:r>
              <w:rPr>
                <w:rFonts w:hint="eastAsia" w:cs="宋体"/>
                <w:color w:val="000000"/>
                <w:spacing w:val="0"/>
                <w:w w:val="100"/>
                <w:position w:val="0"/>
                <w:sz w:val="24"/>
                <w:szCs w:val="24"/>
                <w:lang w:eastAsia="zh-CN"/>
              </w:rPr>
              <w:t>建</w:t>
            </w:r>
            <w:r>
              <w:rPr>
                <w:rFonts w:hint="eastAsia" w:ascii="宋体" w:hAnsi="宋体" w:eastAsia="宋体" w:cs="宋体"/>
                <w:color w:val="000000"/>
                <w:spacing w:val="0"/>
                <w:w w:val="100"/>
                <w:position w:val="0"/>
                <w:sz w:val="24"/>
                <w:szCs w:val="24"/>
              </w:rPr>
              <w:t>设</w:t>
            </w:r>
          </w:p>
          <w:p>
            <w:pPr>
              <w:pStyle w:val="30"/>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（二）深入推进商务诚信建</w:t>
            </w:r>
            <w:r>
              <w:rPr>
                <w:rFonts w:hint="eastAsia" w:ascii="宋体" w:hAnsi="宋体" w:eastAsia="宋体" w:cs="宋体"/>
                <w:color w:val="000000"/>
                <w:spacing w:val="0"/>
                <w:w w:val="100"/>
                <w:position w:val="0"/>
                <w:sz w:val="24"/>
                <w:szCs w:val="24"/>
                <w:lang w:val="zh-CN" w:eastAsia="zh-CN" w:bidi="zh-CN"/>
              </w:rPr>
              <w:t>设。</w:t>
            </w:r>
          </w:p>
          <w:p>
            <w:pPr>
              <w:pStyle w:val="12"/>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leftChars="0" w:right="0" w:firstLine="480" w:firstLineChars="200"/>
              <w:jc w:val="left"/>
              <w:textAlignment w:val="auto"/>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政府釆购领域信用建设。</w:t>
            </w:r>
            <w:r>
              <w:rPr>
                <w:rFonts w:hint="eastAsia" w:ascii="宋体" w:hAnsi="宋体" w:eastAsia="宋体" w:cs="宋体"/>
                <w:color w:val="000000"/>
                <w:spacing w:val="0"/>
                <w:w w:val="100"/>
                <w:position w:val="0"/>
                <w:sz w:val="24"/>
                <w:szCs w:val="24"/>
                <w:lang w:val="zh-CN" w:eastAsia="zh-CN" w:bidi="zh-CN"/>
              </w:rPr>
              <w:t>制定</w:t>
            </w:r>
            <w:r>
              <w:rPr>
                <w:rFonts w:hint="eastAsia" w:ascii="宋体" w:hAnsi="宋体" w:eastAsia="宋体" w:cs="宋体"/>
                <w:color w:val="000000"/>
                <w:spacing w:val="0"/>
                <w:w w:val="100"/>
                <w:position w:val="0"/>
                <w:sz w:val="24"/>
                <w:szCs w:val="24"/>
              </w:rPr>
              <w:t>供应商、评审专家、政府釆购代理机构以及相关从业人员的信用记录标准。依法建立政府釆购供应商不良行为记录名单，对列入不良行为记录名单的供应商，在一定期限内禁止参加政府采购活动。完善政府釆购市场的准入和退出机制，充分利用工商、税务、 金融、检察等其他部门提供的信用信息，加强对政府采购当事人和相关人员的信用管理。</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p>
        </w:tc>
      </w:tr>
      <w:tr>
        <w:tblPrEx>
          <w:tblCellMar>
            <w:top w:w="0" w:type="dxa"/>
            <w:left w:w="10" w:type="dxa"/>
            <w:bottom w:w="0" w:type="dxa"/>
            <w:right w:w="10" w:type="dxa"/>
          </w:tblCellMar>
        </w:tblPrEx>
        <w:trPr>
          <w:trHeight w:val="2628"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24"/>
                <w:szCs w:val="24"/>
                <w:lang w:val="en-US" w:eastAsia="zh-CN"/>
              </w:rPr>
            </w:pPr>
            <w:r>
              <w:rPr>
                <w:rFonts w:hint="eastAsia" w:ascii="宋体" w:hAnsi="宋体" w:eastAsia="宋体" w:cs="宋体"/>
                <w:color w:val="000000"/>
                <w:spacing w:val="0"/>
                <w:w w:val="100"/>
                <w:position w:val="0"/>
                <w:sz w:val="24"/>
                <w:szCs w:val="24"/>
                <w:lang w:val="zh-CN" w:eastAsia="zh-CN" w:bidi="zh-CN"/>
              </w:rPr>
              <w:t>5、</w:t>
            </w:r>
            <w:r>
              <w:rPr>
                <w:rFonts w:hint="eastAsia" w:ascii="宋体" w:hAnsi="宋体" w:eastAsia="宋体" w:cs="宋体"/>
                <w:color w:val="000000"/>
                <w:spacing w:val="0"/>
                <w:w w:val="100"/>
                <w:position w:val="0"/>
                <w:sz w:val="24"/>
                <w:szCs w:val="24"/>
              </w:rPr>
              <w:t>对失信主体参与工程等招投标依法予以限制。</w:t>
            </w:r>
          </w:p>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zh-CN" w:eastAsia="zh-CN" w:bidi="zh-CN"/>
              </w:rPr>
            </w:pPr>
          </w:p>
        </w:tc>
        <w:tc>
          <w:tcPr>
            <w:tcW w:w="9400" w:type="dxa"/>
            <w:tcBorders>
              <w:top w:val="single" w:color="auto" w:sz="4" w:space="0"/>
              <w:left w:val="single" w:color="auto" w:sz="4" w:space="0"/>
              <w:bottom w:val="single" w:color="auto" w:sz="4" w:space="0"/>
            </w:tcBorders>
            <w:shd w:val="clear" w:color="auto" w:fill="FFFFFF"/>
            <w:vAlign w:val="top"/>
          </w:tcPr>
          <w:p>
            <w:pPr>
              <w:pStyle w:val="30"/>
              <w:keepNext w:val="0"/>
              <w:keepLines w:val="0"/>
              <w:widowControl w:val="0"/>
              <w:shd w:val="clear" w:color="auto" w:fill="auto"/>
              <w:bidi w:val="0"/>
              <w:spacing w:before="0" w:after="0" w:line="240" w:lineRule="auto"/>
              <w:ind w:right="0" w:firstLine="480" w:firstLineChars="2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1、《国务院关于印发社会信用体系建设规划纲要</w:t>
            </w:r>
            <w:r>
              <w:rPr>
                <w:rFonts w:hint="eastAsia" w:ascii="宋体" w:hAnsi="宋体" w:eastAsia="宋体" w:cs="宋体"/>
                <w:color w:val="000000"/>
                <w:spacing w:val="0"/>
                <w:w w:val="100"/>
                <w:position w:val="0"/>
                <w:sz w:val="24"/>
                <w:szCs w:val="24"/>
                <w:lang w:val="en-US" w:eastAsia="en-US" w:bidi="en-US"/>
              </w:rPr>
              <w:t>（2014-2020</w:t>
            </w:r>
            <w:r>
              <w:rPr>
                <w:rFonts w:hint="eastAsia" w:ascii="宋体" w:hAnsi="宋体" w:eastAsia="宋体" w:cs="宋体"/>
                <w:color w:val="000000"/>
                <w:spacing w:val="0"/>
                <w:w w:val="100"/>
                <w:position w:val="0"/>
                <w:sz w:val="24"/>
                <w:szCs w:val="24"/>
              </w:rPr>
              <w:t>年）的通知》</w:t>
            </w:r>
          </w:p>
          <w:p>
            <w:pPr>
              <w:pStyle w:val="30"/>
              <w:keepNext w:val="0"/>
              <w:keepLines w:val="0"/>
              <w:widowControl w:val="0"/>
              <w:shd w:val="clear" w:color="auto" w:fill="auto"/>
              <w:bidi w:val="0"/>
              <w:spacing w:before="0" w:after="0" w:line="240" w:lineRule="auto"/>
              <w:ind w:right="0" w:firstLine="480" w:firstLineChars="2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第二部分</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推进重点领域诚信建设</w:t>
            </w:r>
          </w:p>
          <w:p>
            <w:pPr>
              <w:pStyle w:val="30"/>
              <w:keepNext w:val="0"/>
              <w:keepLines w:val="0"/>
              <w:widowControl w:val="0"/>
              <w:shd w:val="clear" w:color="auto" w:fill="auto"/>
              <w:bidi w:val="0"/>
              <w:spacing w:before="0" w:after="60" w:line="240" w:lineRule="auto"/>
              <w:ind w:right="0" w:firstLine="480" w:firstLineChars="2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（二）深入推进商务诚信建设。</w:t>
            </w:r>
          </w:p>
          <w:p>
            <w:pPr>
              <w:pStyle w:val="12"/>
              <w:keepNext w:val="0"/>
              <w:keepLines w:val="0"/>
              <w:widowControl w:val="0"/>
              <w:shd w:val="clear" w:color="auto" w:fill="auto"/>
              <w:bidi w:val="0"/>
              <w:spacing w:before="0" w:after="0" w:line="240" w:lineRule="auto"/>
              <w:ind w:left="0" w:right="0" w:firstLine="480" w:firstLineChars="200"/>
              <w:jc w:val="left"/>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招标投标领域信用建设。扩大招标投标信用信息公开和共享范围，建立涵盖招标投标情况的信用评价指标和评价标准体系，健全招标投标信用信息公开和共享制度。进一步贯彻落实招标投标违法行为记录公告制度，推动完善奖惩联动机制。依托电子招标投标系统及其公共服务平台，实现招标投标和合同履行等信用信息的互联互通、实时交换和整合共享。鼓励市场主体运用基本信用信息</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国家发展改革委、交通运输部、国家铁路局、中国民航局</w:t>
            </w:r>
          </w:p>
        </w:tc>
      </w:tr>
      <w:tr>
        <w:tblPrEx>
          <w:tblCellMar>
            <w:top w:w="0" w:type="dxa"/>
            <w:left w:w="10" w:type="dxa"/>
            <w:bottom w:w="0" w:type="dxa"/>
            <w:right w:w="10" w:type="dxa"/>
          </w:tblCellMar>
        </w:tblPrEx>
        <w:trPr>
          <w:trHeight w:val="5491"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zh-CN" w:eastAsia="zh-CN" w:bidi="zh-CN"/>
              </w:rPr>
            </w:pPr>
          </w:p>
        </w:tc>
        <w:tc>
          <w:tcPr>
            <w:tcW w:w="9400" w:type="dxa"/>
            <w:tcBorders>
              <w:top w:val="single" w:color="auto" w:sz="4" w:space="0"/>
              <w:left w:val="single" w:color="auto" w:sz="4" w:space="0"/>
              <w:bottom w:val="single" w:color="auto" w:sz="4" w:space="0"/>
            </w:tcBorders>
            <w:shd w:val="clear" w:color="auto" w:fill="FFFFFF"/>
            <w:vAlign w:val="top"/>
          </w:tcPr>
          <w:p>
            <w:pPr>
              <w:bidi w:val="0"/>
              <w:ind w:left="480" w:hanging="480" w:hangingChars="200"/>
              <w:rPr>
                <w:rFonts w:hint="eastAsia"/>
              </w:rPr>
            </w:pPr>
            <w:r>
              <w:rPr>
                <w:rFonts w:hint="eastAsia"/>
              </w:rPr>
              <w:t>和第三方信用评价结果，并将其作为投标人资格审查、评标、定标和合同签订的重要依据。</w:t>
            </w:r>
            <w:bookmarkStart w:id="49" w:name="bookmark52"/>
            <w:r>
              <w:rPr>
                <w:rFonts w:hint="eastAsia"/>
              </w:rPr>
              <w:t>2</w:t>
            </w:r>
            <w:bookmarkEnd w:id="49"/>
            <w:r>
              <w:rPr>
                <w:rFonts w:hint="eastAsia"/>
              </w:rPr>
              <w:t>、《国务院办公厅关于运用大数据加强对市场主体服务和监管的若干意见》</w:t>
            </w:r>
          </w:p>
          <w:p>
            <w:pPr>
              <w:bidi w:val="0"/>
              <w:ind w:firstLine="480" w:firstLineChars="200"/>
              <w:rPr>
                <w:rFonts w:hint="eastAsia"/>
                <w:lang w:eastAsia="zh-CN"/>
              </w:rPr>
            </w:pPr>
            <w:r>
              <w:rPr>
                <w:rFonts w:hint="eastAsia" w:eastAsia="宋体"/>
                <w:lang w:eastAsia="zh-CN"/>
              </w:rPr>
              <w:t>（十三）</w:t>
            </w:r>
            <w:r>
              <w:rPr>
                <w:rFonts w:hint="eastAsia"/>
              </w:rPr>
              <w:t>建立健全失信联合惩戒机制。各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 授予荣誉称号等方面，建立跨部门联动响应和失信约束机制，对违法失信主体依法予以限制或禁入。建立各行业</w:t>
            </w:r>
            <w:r>
              <w:rPr>
                <w:rFonts w:hint="eastAsia"/>
                <w:lang w:val="zh-CN" w:eastAsia="zh-CN"/>
              </w:rPr>
              <w:t>“黑</w:t>
            </w:r>
            <w:r>
              <w:rPr>
                <w:rFonts w:hint="eastAsia"/>
              </w:rPr>
              <w:t>名单”制度和市场退出机制。推动将申请人良好的信用状况作为各类行政许可的必备条件</w:t>
            </w:r>
            <w:r>
              <w:rPr>
                <w:rFonts w:hint="eastAsia"/>
                <w:lang w:eastAsia="zh-CN"/>
              </w:rPr>
              <w:t>。</w:t>
            </w:r>
            <w:bookmarkStart w:id="50" w:name="bookmark53"/>
          </w:p>
          <w:p>
            <w:pPr>
              <w:bidi w:val="0"/>
              <w:ind w:firstLine="480" w:firstLineChars="200"/>
              <w:rPr>
                <w:rFonts w:hint="eastAsia"/>
              </w:rPr>
            </w:pPr>
            <w:r>
              <w:rPr>
                <w:rFonts w:hint="eastAsia"/>
              </w:rPr>
              <w:t>3</w:t>
            </w:r>
            <w:bookmarkEnd w:id="50"/>
            <w:r>
              <w:rPr>
                <w:rFonts w:hint="eastAsia"/>
              </w:rPr>
              <w:t>、《工程建设项目施工招标投标办法》</w:t>
            </w:r>
          </w:p>
          <w:p>
            <w:pPr>
              <w:bidi w:val="0"/>
              <w:ind w:firstLine="480" w:firstLineChars="200"/>
              <w:rPr>
                <w:rFonts w:hint="eastAsia" w:ascii="宋体" w:hAnsi="宋体" w:eastAsia="宋体" w:cs="宋体"/>
                <w:color w:val="000000"/>
                <w:spacing w:val="0"/>
                <w:w w:val="100"/>
                <w:position w:val="0"/>
                <w:szCs w:val="24"/>
              </w:rPr>
            </w:pPr>
            <w:r>
              <w:rPr>
                <w:rFonts w:hint="eastAsia"/>
              </w:rPr>
              <w:t>第二十条</w:t>
            </w:r>
            <w:r>
              <w:rPr>
                <w:rFonts w:hint="eastAsia"/>
                <w:lang w:val="en-US" w:eastAsia="zh-CN"/>
              </w:rPr>
              <w:t xml:space="preserve">  </w:t>
            </w:r>
            <w:r>
              <w:rPr>
                <w:rFonts w:hint="eastAsia"/>
              </w:rPr>
              <w:t>资格审查应主要审查潜在投标人或者投标人是否符合下列条件：（一）具有独立订立合同的权利；（二）具有履行合同的能力，包括专业、技术资格和能力，资金、设备和其他物质设施状况，管理能力，经验、信誉和相应的从业人员；（三）没有处于被责令停业，投标资格被取消</w:t>
            </w:r>
            <w:r>
              <w:rPr>
                <w:rFonts w:hint="eastAsia" w:eastAsia="宋体"/>
                <w:lang w:eastAsia="zh-CN"/>
              </w:rPr>
              <w:t>，</w:t>
            </w:r>
            <w:r>
              <w:rPr>
                <w:rFonts w:hint="eastAsia"/>
              </w:rPr>
              <w:t xml:space="preserve"> 财产被接管、冻结，破产状态；（四）在最近三年内没有骗取中标和严重违约及重大工程质量问题；</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p>
        </w:tc>
      </w:tr>
      <w:tr>
        <w:tblPrEx>
          <w:tblCellMar>
            <w:top w:w="0" w:type="dxa"/>
            <w:left w:w="10" w:type="dxa"/>
            <w:bottom w:w="0" w:type="dxa"/>
            <w:right w:w="10" w:type="dxa"/>
          </w:tblCellMar>
        </w:tblPrEx>
        <w:trPr>
          <w:trHeight w:val="2788"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6、对失信主体在取得政府供应土地方面依 法予以限制。</w:t>
            </w:r>
          </w:p>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zh-CN" w:eastAsia="zh-CN" w:bidi="zh-CN"/>
              </w:rPr>
            </w:pPr>
          </w:p>
        </w:tc>
        <w:tc>
          <w:tcPr>
            <w:tcW w:w="9400" w:type="dxa"/>
            <w:tcBorders>
              <w:top w:val="single" w:color="auto" w:sz="4" w:space="0"/>
              <w:left w:val="single" w:color="auto" w:sz="4" w:space="0"/>
              <w:bottom w:val="single" w:color="auto" w:sz="4" w:space="0"/>
            </w:tcBorders>
            <w:shd w:val="clear" w:color="auto" w:fill="FFFFFF"/>
            <w:vAlign w:val="top"/>
          </w:tcPr>
          <w:p>
            <w:pPr>
              <w:bidi w:val="0"/>
              <w:ind w:firstLine="480" w:firstLineChars="200"/>
              <w:rPr>
                <w:rFonts w:hint="eastAsia"/>
              </w:rPr>
            </w:pPr>
            <w:r>
              <w:rPr>
                <w:rFonts w:hint="eastAsia"/>
              </w:rPr>
              <w:t>1、《国务院关于促进市场公平竞争维护市场正常秩序的若干意见》</w:t>
            </w:r>
          </w:p>
          <w:p>
            <w:pPr>
              <w:bidi w:val="0"/>
              <w:ind w:firstLine="480" w:firstLineChars="200"/>
              <w:rPr>
                <w:rFonts w:hint="eastAsia"/>
              </w:rPr>
            </w:pPr>
            <w:r>
              <w:rPr>
                <w:rFonts w:hint="eastAsia"/>
              </w:rPr>
              <w:t>（十五）建立健全守信激励和失信惩戒机制。</w:t>
            </w:r>
            <w:r>
              <w:rPr>
                <w:rFonts w:hint="eastAsia"/>
                <w:lang w:val="zh-CN" w:eastAsia="zh-CN"/>
              </w:rPr>
              <w:t>对</w:t>
            </w:r>
            <w:r>
              <w:rPr>
                <w:rFonts w:hint="eastAsia"/>
              </w:rPr>
              <w:t>守信主体予以支持和激励，对失信主体在经营、投融资、取得政府供应土地、进出口、出入境、注册新公司、工程招投标、政府采购、获得荣誉、安全许可、生产许可、从业任职资格、资质审核等方面依法予以</w:t>
            </w:r>
            <w:r>
              <w:rPr>
                <w:rFonts w:hint="eastAsia" w:eastAsia="宋体"/>
                <w:lang w:eastAsia="zh-CN"/>
              </w:rPr>
              <w:t>限</w:t>
            </w:r>
            <w:r>
              <w:rPr>
                <w:rFonts w:hint="eastAsia"/>
              </w:rPr>
              <w:t>制或禁止，对严重违法失信 主体实行市场禁入制度。</w:t>
            </w:r>
          </w:p>
          <w:p>
            <w:pPr>
              <w:bidi w:val="0"/>
              <w:ind w:firstLine="480" w:firstLineChars="200"/>
              <w:rPr>
                <w:rFonts w:hint="eastAsia"/>
              </w:rPr>
            </w:pPr>
            <w:r>
              <w:rPr>
                <w:rFonts w:hint="eastAsia"/>
              </w:rPr>
              <w:t>2、《国务院办公厅关于运用大数据加强对市场主体服务和监管的若干意见》</w:t>
            </w:r>
          </w:p>
          <w:p>
            <w:pPr>
              <w:bidi w:val="0"/>
              <w:ind w:firstLine="480" w:firstLineChars="200"/>
              <w:rPr>
                <w:rFonts w:hint="eastAsia" w:ascii="宋体" w:hAnsi="宋体" w:eastAsia="宋体" w:cs="宋体"/>
                <w:color w:val="000000"/>
                <w:spacing w:val="0"/>
                <w:w w:val="100"/>
                <w:position w:val="0"/>
                <w:szCs w:val="24"/>
              </w:rPr>
            </w:pPr>
            <w:r>
              <w:rPr>
                <w:rFonts w:hint="eastAsia"/>
              </w:rPr>
              <w:t>（十三）建立健全失信联合惩戒机制。充分发挥行政、司法、金融、社会等领域的综合监管</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国土资源部</w:t>
            </w:r>
          </w:p>
        </w:tc>
      </w:tr>
      <w:tr>
        <w:tblPrEx>
          <w:tblCellMar>
            <w:top w:w="0" w:type="dxa"/>
            <w:left w:w="10" w:type="dxa"/>
            <w:bottom w:w="0" w:type="dxa"/>
            <w:right w:w="10" w:type="dxa"/>
          </w:tblCellMar>
        </w:tblPrEx>
        <w:trPr>
          <w:trHeight w:val="3518"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zh-CN" w:eastAsia="zh-CN" w:bidi="zh-CN"/>
              </w:rPr>
            </w:pPr>
          </w:p>
        </w:tc>
        <w:tc>
          <w:tcPr>
            <w:tcW w:w="9400" w:type="dxa"/>
            <w:tcBorders>
              <w:top w:val="single" w:color="auto" w:sz="4" w:space="0"/>
              <w:left w:val="single" w:color="auto" w:sz="4" w:space="0"/>
              <w:bottom w:val="single" w:color="auto" w:sz="4" w:space="0"/>
            </w:tcBorders>
            <w:shd w:val="clear" w:color="auto" w:fill="FFFFFF"/>
            <w:vAlign w:val="top"/>
          </w:tcPr>
          <w:p>
            <w:pPr>
              <w:bidi w:val="0"/>
              <w:rPr>
                <w:rFonts w:hint="eastAsia"/>
              </w:rPr>
            </w:pPr>
            <w:r>
              <w:rPr>
                <w:rFonts w:hint="eastAsia"/>
              </w:rPr>
              <w:t>效能，在市场准入、行政审批、资质认定、享受财政补贴和税收优惠政策、企业法定代表人和负责人任职资格审查、政府釆购、政府购买服务、</w:t>
            </w:r>
            <w:r>
              <w:rPr>
                <w:rFonts w:hint="eastAsia" w:eastAsia="宋体"/>
                <w:lang w:eastAsia="zh-CN"/>
              </w:rPr>
              <w:t>银</w:t>
            </w:r>
            <w:r>
              <w:rPr>
                <w:rFonts w:hint="eastAsia"/>
              </w:rPr>
              <w:t>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w:t>
            </w:r>
            <w:r>
              <w:rPr>
                <w:rFonts w:hint="eastAsia" w:eastAsia="宋体"/>
                <w:lang w:eastAsia="zh-CN"/>
              </w:rPr>
              <w:t>“</w:t>
            </w:r>
            <w:r>
              <w:rPr>
                <w:rFonts w:hint="eastAsia"/>
                <w:lang w:val="zh-CN" w:eastAsia="zh-CN"/>
              </w:rPr>
              <w:t>黑</w:t>
            </w:r>
            <w:r>
              <w:rPr>
                <w:rFonts w:hint="eastAsia"/>
              </w:rPr>
              <w:t>名单</w:t>
            </w:r>
            <w:r>
              <w:rPr>
                <w:rFonts w:hint="eastAsia" w:eastAsia="宋体"/>
                <w:lang w:eastAsia="zh-CN"/>
              </w:rPr>
              <w:t>”</w:t>
            </w:r>
            <w:r>
              <w:rPr>
                <w:rFonts w:hint="eastAsia"/>
              </w:rPr>
              <w:t>制度和市场退出机制。推动将申请人良好的信用状况作为各类行政许可的必备条件。</w:t>
            </w:r>
          </w:p>
          <w:p>
            <w:pPr>
              <w:bidi w:val="0"/>
              <w:ind w:firstLine="480" w:firstLineChars="200"/>
              <w:rPr>
                <w:rFonts w:hint="eastAsia"/>
              </w:rPr>
            </w:pPr>
            <w:bookmarkStart w:id="51" w:name="bookmark54"/>
            <w:r>
              <w:rPr>
                <w:rFonts w:hint="eastAsia"/>
              </w:rPr>
              <w:t>3</w:t>
            </w:r>
            <w:bookmarkEnd w:id="51"/>
            <w:r>
              <w:rPr>
                <w:rFonts w:hint="eastAsia"/>
              </w:rPr>
              <w:t>、《企业信息公示暂行条例》</w:t>
            </w:r>
          </w:p>
          <w:p>
            <w:pPr>
              <w:bidi w:val="0"/>
              <w:ind w:firstLine="480" w:firstLineChars="200"/>
              <w:rPr>
                <w:rFonts w:hint="eastAsia"/>
              </w:rPr>
            </w:pPr>
            <w:r>
              <w:rPr>
                <w:rFonts w:hint="eastAsia"/>
              </w:rPr>
              <w:t>第十八条</w:t>
            </w:r>
            <w:r>
              <w:rPr>
                <w:rFonts w:hint="eastAsia" w:eastAsia="宋体"/>
                <w:lang w:val="en-US" w:eastAsia="zh-CN"/>
              </w:rPr>
              <w:t xml:space="preserve">  </w:t>
            </w:r>
            <w:r>
              <w:rPr>
                <w:rFonts w:hint="eastAsia"/>
              </w:rPr>
              <w:t>县级以上地方人民政府及其有关部门应当建立健全信用约束机制，在政府釆购、工程招投标、国有土地出让、授予荣誉称号等工作中，将企业信息作为重要考量因素，对被列入经营异常名录或者严重违法企业名单的企业依法予以限制或者禁入。</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p>
        </w:tc>
      </w:tr>
      <w:tr>
        <w:tblPrEx>
          <w:tblCellMar>
            <w:top w:w="0" w:type="dxa"/>
            <w:left w:w="10" w:type="dxa"/>
            <w:bottom w:w="0" w:type="dxa"/>
            <w:right w:w="10" w:type="dxa"/>
          </w:tblCellMar>
        </w:tblPrEx>
        <w:trPr>
          <w:trHeight w:val="4838"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val="zh-CN" w:eastAsia="zh-CN" w:bidi="zh-CN"/>
              </w:rPr>
            </w:pPr>
            <w:r>
              <w:rPr>
                <w:rFonts w:hint="eastAsia" w:ascii="宋体" w:hAnsi="宋体" w:eastAsia="宋体" w:cs="宋体"/>
                <w:color w:val="000000"/>
                <w:spacing w:val="0"/>
                <w:w w:val="100"/>
                <w:position w:val="0"/>
                <w:sz w:val="24"/>
                <w:szCs w:val="24"/>
              </w:rPr>
              <w:t>7、在财政补贴资金安排过程中，将失信信息作为审核的重要参考</w:t>
            </w:r>
            <w:r>
              <w:rPr>
                <w:rFonts w:hint="eastAsia" w:cs="宋体"/>
                <w:color w:val="000000"/>
                <w:spacing w:val="0"/>
                <w:w w:val="100"/>
                <w:position w:val="0"/>
                <w:sz w:val="24"/>
                <w:szCs w:val="24"/>
                <w:lang w:eastAsia="zh-CN"/>
              </w:rPr>
              <w:t>。</w:t>
            </w:r>
          </w:p>
        </w:tc>
        <w:tc>
          <w:tcPr>
            <w:tcW w:w="9400" w:type="dxa"/>
            <w:tcBorders>
              <w:top w:val="single" w:color="auto" w:sz="4" w:space="0"/>
              <w:left w:val="single" w:color="auto" w:sz="4" w:space="0"/>
              <w:bottom w:val="single" w:color="auto" w:sz="4" w:space="0"/>
            </w:tcBorders>
            <w:shd w:val="clear" w:color="auto" w:fill="FFFFFF"/>
            <w:vAlign w:val="top"/>
          </w:tcPr>
          <w:p>
            <w:pPr>
              <w:pStyle w:val="30"/>
              <w:keepNext w:val="0"/>
              <w:keepLines w:val="0"/>
              <w:widowControl w:val="0"/>
              <w:shd w:val="clear" w:color="auto" w:fill="auto"/>
              <w:bidi w:val="0"/>
              <w:spacing w:before="0" w:after="0" w:line="240" w:lineRule="auto"/>
              <w:ind w:left="0" w:right="0" w:firstLine="480" w:firstLineChars="2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1、《国务院办公厅关于运用大数据加强对市场主体服务和监管的若干意见》</w:t>
            </w:r>
          </w:p>
          <w:p>
            <w:pPr>
              <w:pStyle w:val="30"/>
              <w:keepNext w:val="0"/>
              <w:keepLines w:val="0"/>
              <w:widowControl w:val="0"/>
              <w:shd w:val="clear" w:color="auto" w:fill="auto"/>
              <w:bidi w:val="0"/>
              <w:spacing w:before="0" w:after="0" w:line="240" w:lineRule="auto"/>
              <w:ind w:right="0" w:firstLine="480" w:firstLineChars="20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（十三）建立健全失信联合惩戒机制</w:t>
            </w:r>
            <w:r>
              <w:rPr>
                <w:rFonts w:hint="eastAsia" w:ascii="宋体" w:hAnsi="宋体" w:eastAsia="宋体" w:cs="宋体"/>
                <w:color w:val="000000"/>
                <w:spacing w:val="0"/>
                <w:w w:val="100"/>
                <w:position w:val="0"/>
                <w:sz w:val="24"/>
                <w:szCs w:val="24"/>
                <w:lang w:val="zh-CN" w:eastAsia="zh-CN" w:bidi="zh-CN"/>
              </w:rPr>
              <w:t>。充</w:t>
            </w:r>
            <w:r>
              <w:rPr>
                <w:rFonts w:hint="eastAsia" w:ascii="宋体" w:hAnsi="宋体" w:eastAsia="宋体" w:cs="宋体"/>
                <w:color w:val="000000"/>
                <w:spacing w:val="0"/>
                <w:w w:val="100"/>
                <w:position w:val="0"/>
                <w:sz w:val="24"/>
                <w:szCs w:val="24"/>
              </w:rPr>
              <w:t>分发挥行政、司法、金融、社会等领域的综合监管效能，在市场准入、行政审批、资质认定、享受财政补贴和税收优惠政策、企业法定代表人和负责人任职资格审查、政府釆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w:t>
            </w:r>
            <w:r>
              <w:rPr>
                <w:rFonts w:hint="eastAsia" w:ascii="宋体" w:hAnsi="宋体" w:eastAsia="宋体" w:cs="宋体"/>
                <w:color w:val="000000"/>
                <w:spacing w:val="0"/>
                <w:w w:val="100"/>
                <w:position w:val="0"/>
                <w:sz w:val="24"/>
                <w:szCs w:val="24"/>
                <w:lang w:val="zh-CN" w:eastAsia="zh-CN" w:bidi="zh-CN"/>
              </w:rPr>
              <w:t>“黑</w:t>
            </w:r>
            <w:r>
              <w:rPr>
                <w:rFonts w:hint="eastAsia" w:ascii="宋体" w:hAnsi="宋体" w:eastAsia="宋体" w:cs="宋体"/>
                <w:color w:val="000000"/>
                <w:spacing w:val="0"/>
                <w:w w:val="100"/>
                <w:position w:val="0"/>
                <w:sz w:val="24"/>
                <w:szCs w:val="24"/>
              </w:rPr>
              <w:t>名单”制度和市场退出机制。推动将申请人良好的信用状况作为各类行政许可的必备条件。</w:t>
            </w:r>
          </w:p>
          <w:p>
            <w:pPr>
              <w:bidi w:val="0"/>
              <w:ind w:firstLine="480" w:firstLineChars="200"/>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 xml:space="preserve">2、《国务院关于建立完善守信联合激励和失信联合惩戒制度加快推进社会诚信建设的指导意见》 </w:t>
            </w:r>
          </w:p>
          <w:p>
            <w:pPr>
              <w:bidi w:val="0"/>
              <w:ind w:firstLine="480" w:firstLineChars="200"/>
              <w:rPr>
                <w:rFonts w:hint="eastAsia" w:eastAsia="宋体"/>
                <w:lang w:eastAsia="zh-CN"/>
              </w:rPr>
            </w:pPr>
            <w:r>
              <w:rPr>
                <w:rFonts w:hint="eastAsia" w:ascii="宋体" w:hAnsi="宋体" w:eastAsia="宋体" w:cs="宋体"/>
                <w:color w:val="000000"/>
                <w:spacing w:val="0"/>
                <w:w w:val="100"/>
                <w:position w:val="0"/>
                <w:sz w:val="24"/>
                <w:szCs w:val="24"/>
              </w:rPr>
              <w:t>（十）依法依规加强对失信行为的行政性约束和惩戒。对严重失信主体，各地区、各有关部门应将其列为重点监管对象，依法依规采取行政性约束和惩戒措施。</w:t>
            </w:r>
            <w:r>
              <w:rPr>
                <w:rFonts w:hint="eastAsia" w:ascii="宋体" w:hAnsi="宋体" w:eastAsia="宋体" w:cs="宋体"/>
                <w:color w:val="000000"/>
                <w:spacing w:val="0"/>
                <w:w w:val="100"/>
                <w:position w:val="0"/>
                <w:sz w:val="24"/>
                <w:szCs w:val="24"/>
                <w:lang w:eastAsia="zh-CN"/>
              </w:rPr>
              <w:t>严</w:t>
            </w:r>
            <w:r>
              <w:rPr>
                <w:rFonts w:hint="eastAsia" w:ascii="宋体" w:hAnsi="宋体" w:eastAsia="宋体" w:cs="宋体"/>
                <w:color w:val="000000"/>
                <w:spacing w:val="0"/>
                <w:w w:val="100"/>
                <w:position w:val="0"/>
                <w:sz w:val="24"/>
                <w:szCs w:val="24"/>
                <w:lang w:val="zh-CN" w:eastAsia="zh-CN" w:bidi="zh-CN"/>
              </w:rPr>
              <w:t>格</w:t>
            </w:r>
            <w:r>
              <w:rPr>
                <w:rFonts w:hint="eastAsia" w:ascii="宋体" w:hAnsi="宋体" w:eastAsia="宋体" w:cs="宋体"/>
                <w:color w:val="000000"/>
                <w:spacing w:val="0"/>
                <w:w w:val="100"/>
                <w:position w:val="0"/>
                <w:sz w:val="24"/>
                <w:szCs w:val="24"/>
              </w:rPr>
              <w:t>限制申请财政性资金项目，限制参与有关公共资源交易活动，限制参与基础设施和公用事业特许经营</w:t>
            </w:r>
            <w:r>
              <w:rPr>
                <w:rFonts w:hint="eastAsia" w:ascii="宋体" w:hAnsi="宋体" w:eastAsia="宋体" w:cs="宋体"/>
                <w:color w:val="000000"/>
                <w:spacing w:val="0"/>
                <w:w w:val="100"/>
                <w:position w:val="0"/>
                <w:sz w:val="24"/>
                <w:szCs w:val="24"/>
                <w:lang w:eastAsia="zh-CN"/>
              </w:rPr>
              <w:t>。</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国家发展改革委、财政部、人力资源社会保障部、交通运输部、国务院国资委等相关部门</w:t>
            </w:r>
          </w:p>
        </w:tc>
      </w:tr>
      <w:tr>
        <w:tblPrEx>
          <w:tblCellMar>
            <w:top w:w="0" w:type="dxa"/>
            <w:left w:w="10" w:type="dxa"/>
            <w:bottom w:w="0" w:type="dxa"/>
            <w:right w:w="10" w:type="dxa"/>
          </w:tblCellMar>
        </w:tblPrEx>
        <w:trPr>
          <w:trHeight w:val="4626"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8、对失信主体在申请取得认证机构资质、获得认证证书方面依法予以</w:t>
            </w:r>
            <w:r>
              <w:rPr>
                <w:rFonts w:hint="eastAsia" w:cs="宋体"/>
                <w:color w:val="000000"/>
                <w:spacing w:val="0"/>
                <w:w w:val="100"/>
                <w:position w:val="0"/>
                <w:sz w:val="24"/>
                <w:szCs w:val="24"/>
                <w:lang w:val="en-US" w:eastAsia="zh-CN" w:bidi="en-US"/>
              </w:rPr>
              <w:t>限</w:t>
            </w:r>
            <w:r>
              <w:rPr>
                <w:rFonts w:hint="eastAsia" w:ascii="宋体" w:hAnsi="宋体" w:eastAsia="宋体" w:cs="宋体"/>
                <w:color w:val="000000"/>
                <w:spacing w:val="0"/>
                <w:w w:val="100"/>
                <w:position w:val="0"/>
                <w:sz w:val="24"/>
                <w:szCs w:val="24"/>
              </w:rPr>
              <w:t>制。</w:t>
            </w:r>
          </w:p>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rPr>
            </w:pPr>
          </w:p>
        </w:tc>
        <w:tc>
          <w:tcPr>
            <w:tcW w:w="9400" w:type="dxa"/>
            <w:tcBorders>
              <w:top w:val="single" w:color="auto" w:sz="4" w:space="0"/>
              <w:left w:val="single" w:color="auto" w:sz="4" w:space="0"/>
              <w:bottom w:val="single" w:color="auto" w:sz="4" w:space="0"/>
            </w:tcBorders>
            <w:shd w:val="clear" w:color="auto" w:fill="FFFFFF"/>
            <w:vAlign w:val="top"/>
          </w:tcPr>
          <w:p>
            <w:pPr>
              <w:bidi w:val="0"/>
              <w:ind w:firstLine="480" w:firstLineChars="200"/>
              <w:rPr>
                <w:rFonts w:hint="eastAsia"/>
              </w:rPr>
            </w:pPr>
            <w:bookmarkStart w:id="52" w:name="bookmark55"/>
            <w:r>
              <w:rPr>
                <w:rFonts w:hint="eastAsia"/>
              </w:rPr>
              <w:t>1</w:t>
            </w:r>
            <w:bookmarkEnd w:id="52"/>
            <w:r>
              <w:rPr>
                <w:rFonts w:hint="eastAsia"/>
              </w:rPr>
              <w:t>、《国务院关于印发社会信用体系建设规划纲要</w:t>
            </w:r>
            <w:r>
              <w:rPr>
                <w:rFonts w:hint="eastAsia"/>
                <w:lang w:val="en-US" w:eastAsia="en-US"/>
              </w:rPr>
              <w:t>（2014-202</w:t>
            </w:r>
            <w:r>
              <w:rPr>
                <w:rFonts w:hint="eastAsia"/>
              </w:rPr>
              <w:t>0年）的通知》</w:t>
            </w:r>
          </w:p>
          <w:p>
            <w:pPr>
              <w:bidi w:val="0"/>
              <w:ind w:firstLine="480" w:firstLineChars="200"/>
              <w:rPr>
                <w:rFonts w:hint="eastAsia"/>
              </w:rPr>
            </w:pPr>
            <w:r>
              <w:rPr>
                <w:rFonts w:hint="eastAsia"/>
              </w:rPr>
              <w:t>第二部分</w:t>
            </w:r>
            <w:r>
              <w:rPr>
                <w:rFonts w:hint="eastAsia" w:eastAsia="宋体"/>
                <w:lang w:val="en-US" w:eastAsia="zh-CN"/>
              </w:rPr>
              <w:t xml:space="preserve">  </w:t>
            </w:r>
            <w:r>
              <w:rPr>
                <w:rFonts w:hint="eastAsia"/>
              </w:rPr>
              <w:t>推进重点领域诚信建设</w:t>
            </w:r>
          </w:p>
          <w:p>
            <w:pPr>
              <w:bidi w:val="0"/>
              <w:ind w:firstLine="480" w:firstLineChars="200"/>
              <w:rPr>
                <w:rFonts w:hint="eastAsia"/>
              </w:rPr>
            </w:pPr>
            <w:bookmarkStart w:id="53" w:name="bookmark56"/>
            <w:r>
              <w:rPr>
                <w:rFonts w:hint="eastAsia"/>
              </w:rPr>
              <w:t>（</w:t>
            </w:r>
            <w:bookmarkEnd w:id="53"/>
            <w:r>
              <w:rPr>
                <w:rFonts w:hint="eastAsia"/>
              </w:rPr>
              <w:t>一）加快推进政务诚信建设。</w:t>
            </w:r>
          </w:p>
          <w:p>
            <w:pPr>
              <w:bidi w:val="0"/>
              <w:ind w:firstLine="480" w:firstLineChars="200"/>
              <w:rPr>
                <w:rFonts w:hint="eastAsia"/>
              </w:rPr>
            </w:pPr>
            <w:r>
              <w:rPr>
                <w:rFonts w:hint="eastAsia"/>
                <w:lang w:val="zh-CN" w:eastAsia="zh-CN"/>
              </w:rPr>
              <w:t>发</w:t>
            </w:r>
            <w:r>
              <w:rPr>
                <w:rFonts w:hint="eastAsia"/>
              </w:rPr>
              <w:t>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w:t>
            </w:r>
            <w:r>
              <w:rPr>
                <w:rFonts w:hint="eastAsia"/>
                <w:lang w:val="zh-CN" w:eastAsia="zh-CN"/>
              </w:rPr>
              <w:t>展。</w:t>
            </w:r>
          </w:p>
          <w:p>
            <w:pPr>
              <w:bidi w:val="0"/>
              <w:ind w:firstLine="480" w:firstLineChars="200"/>
              <w:rPr>
                <w:rFonts w:hint="eastAsia"/>
              </w:rPr>
            </w:pPr>
            <w:bookmarkStart w:id="54" w:name="bookmark57"/>
            <w:r>
              <w:rPr>
                <w:rFonts w:hint="eastAsia"/>
              </w:rPr>
              <w:t>（</w:t>
            </w:r>
            <w:bookmarkEnd w:id="54"/>
            <w:r>
              <w:rPr>
                <w:rFonts w:hint="eastAsia"/>
              </w:rPr>
              <w:t>二）深入推进商务诚信建设。</w:t>
            </w:r>
          </w:p>
          <w:p>
            <w:pPr>
              <w:bidi w:val="0"/>
              <w:ind w:firstLine="480" w:firstLineChars="200"/>
              <w:rPr>
                <w:rFonts w:hint="eastAsia"/>
              </w:rPr>
            </w:pPr>
            <w:r>
              <w:rPr>
                <w:rFonts w:hint="eastAsia"/>
                <w:lang w:val="zh-CN" w:eastAsia="zh-CN"/>
              </w:rPr>
              <w:t>中</w:t>
            </w:r>
            <w:r>
              <w:rPr>
                <w:rFonts w:hint="eastAsia"/>
              </w:rPr>
              <w:t>介服务业信用建设。建立完善中介服务机构及其从业人员的信用记录和</w:t>
            </w:r>
            <w:r>
              <w:rPr>
                <w:rFonts w:hint="eastAsia" w:eastAsia="宋体"/>
                <w:lang w:eastAsia="zh-CN"/>
              </w:rPr>
              <w:t>披</w:t>
            </w:r>
            <w:r>
              <w:rPr>
                <w:rFonts w:hint="eastAsia"/>
              </w:rPr>
              <w:t>露制度，并作为市场行政执法部门实施信用分类管理的重要依据。重点加强公证仲裁类、律师类、会计类、担保类、鉴证类、检验检测类、评估类、认证类、代理类、经纪类、职业介绍类、咨询类、交易类等机构信用分类管理，探索建立科学合理的评估指标体系、评估制度和工作机</w:t>
            </w:r>
            <w:r>
              <w:rPr>
                <w:rFonts w:hint="eastAsia"/>
                <w:lang w:val="zh-CN" w:eastAsia="zh-CN"/>
              </w:rPr>
              <w:t>制。</w:t>
            </w:r>
          </w:p>
          <w:p>
            <w:pPr>
              <w:bidi w:val="0"/>
              <w:ind w:firstLine="480" w:firstLineChars="200"/>
              <w:rPr>
                <w:rFonts w:hint="eastAsia"/>
              </w:rPr>
            </w:pPr>
            <w:bookmarkStart w:id="55" w:name="bookmark58"/>
            <w:r>
              <w:rPr>
                <w:rFonts w:hint="eastAsia"/>
              </w:rPr>
              <w:t>2</w:t>
            </w:r>
            <w:bookmarkEnd w:id="55"/>
            <w:r>
              <w:rPr>
                <w:rFonts w:hint="eastAsia"/>
              </w:rPr>
              <w:t>、《国务院关于促进市场公平竞争维护市场正常秩序的若干意见》</w:t>
            </w:r>
          </w:p>
          <w:p>
            <w:pPr>
              <w:bidi w:val="0"/>
              <w:ind w:firstLine="480" w:firstLineChars="200"/>
              <w:rPr>
                <w:rFonts w:hint="eastAsia"/>
              </w:rPr>
            </w:pPr>
            <w:r>
              <w:rPr>
                <w:rFonts w:hint="eastAsia"/>
              </w:rPr>
              <w:t>（十五）建立健全守信激励和失信惩戒机制。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p>
            <w:pPr>
              <w:bidi w:val="0"/>
              <w:ind w:firstLine="480" w:firstLineChars="200"/>
              <w:rPr>
                <w:rFonts w:hint="eastAsia"/>
              </w:rPr>
            </w:pPr>
            <w:bookmarkStart w:id="56" w:name="bookmark59"/>
            <w:r>
              <w:rPr>
                <w:rFonts w:hint="eastAsia"/>
              </w:rPr>
              <w:t>3</w:t>
            </w:r>
            <w:bookmarkEnd w:id="56"/>
            <w:r>
              <w:rPr>
                <w:rFonts w:hint="eastAsia"/>
              </w:rPr>
              <w:t>、《中华人民共和国认证认可条例》</w:t>
            </w:r>
          </w:p>
          <w:p>
            <w:pPr>
              <w:bidi w:val="0"/>
              <w:ind w:firstLine="480" w:firstLineChars="200"/>
              <w:rPr>
                <w:rFonts w:hint="eastAsia" w:ascii="宋体" w:hAnsi="宋体" w:eastAsia="宋体" w:cs="宋体"/>
                <w:szCs w:val="24"/>
              </w:rPr>
            </w:pPr>
            <w:r>
              <w:rPr>
                <w:rFonts w:hint="eastAsia"/>
              </w:rPr>
              <w:t>第六条</w:t>
            </w:r>
            <w:r>
              <w:rPr>
                <w:rFonts w:hint="eastAsia" w:eastAsia="宋体"/>
                <w:lang w:val="en-US" w:eastAsia="zh-CN"/>
              </w:rPr>
              <w:t xml:space="preserve">  </w:t>
            </w:r>
            <w:r>
              <w:rPr>
                <w:rFonts w:hint="eastAsia"/>
              </w:rPr>
              <w:t>认证认可活动应当遵循客观独立、公开公正、诚实信用的原则。</w:t>
            </w:r>
          </w:p>
          <w:p>
            <w:pPr>
              <w:bidi w:val="0"/>
              <w:ind w:firstLine="480" w:firstLineChars="200"/>
              <w:rPr>
                <w:rFonts w:hint="eastAsia" w:ascii="宋体" w:hAnsi="宋体" w:eastAsia="宋体" w:cs="宋体"/>
                <w:color w:val="000000"/>
                <w:spacing w:val="0"/>
                <w:w w:val="100"/>
                <w:position w:val="0"/>
                <w:sz w:val="24"/>
                <w:szCs w:val="24"/>
              </w:rPr>
            </w:pP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质检总局</w:t>
            </w:r>
          </w:p>
        </w:tc>
      </w:tr>
      <w:tr>
        <w:tblPrEx>
          <w:tblCellMar>
            <w:top w:w="0" w:type="dxa"/>
            <w:left w:w="10" w:type="dxa"/>
            <w:bottom w:w="0" w:type="dxa"/>
            <w:right w:w="10" w:type="dxa"/>
          </w:tblCellMar>
        </w:tblPrEx>
        <w:trPr>
          <w:trHeight w:val="1748"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9、将失信主体的信用状况作为税务部门评 价其纳税信用</w:t>
            </w:r>
          </w:p>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rPr>
            </w:pPr>
          </w:p>
        </w:tc>
        <w:tc>
          <w:tcPr>
            <w:tcW w:w="9400" w:type="dxa"/>
            <w:tcBorders>
              <w:top w:val="single" w:color="auto" w:sz="4" w:space="0"/>
              <w:left w:val="single" w:color="auto" w:sz="4" w:space="0"/>
              <w:bottom w:val="single" w:color="auto" w:sz="4" w:space="0"/>
            </w:tcBorders>
            <w:shd w:val="clear" w:color="auto" w:fill="FFFFFF"/>
            <w:vAlign w:val="top"/>
          </w:tcPr>
          <w:p>
            <w:pPr>
              <w:pStyle w:val="30"/>
              <w:keepNext w:val="0"/>
              <w:keepLines w:val="0"/>
              <w:widowControl w:val="0"/>
              <w:shd w:val="clear" w:color="auto" w:fill="auto"/>
              <w:bidi w:val="0"/>
              <w:spacing w:before="0" w:after="0" w:line="240" w:lineRule="auto"/>
              <w:ind w:left="0" w:right="0" w:firstLine="480" w:firstLineChars="2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1、《国家税务总局关于发布〈纳税信用管理办法（试行）〉的公告》</w:t>
            </w:r>
          </w:p>
          <w:p>
            <w:pPr>
              <w:pStyle w:val="30"/>
              <w:keepNext w:val="0"/>
              <w:keepLines w:val="0"/>
              <w:widowControl w:val="0"/>
              <w:shd w:val="clear" w:color="auto" w:fill="auto"/>
              <w:bidi w:val="0"/>
              <w:spacing w:before="0" w:after="0" w:line="240" w:lineRule="auto"/>
              <w:ind w:right="0" w:firstLine="480" w:firstLineChars="20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第十条</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纳税信用信息包括纳税人信用历史信息、税务内部信息、外部信息</w:t>
            </w:r>
            <w:r>
              <w:rPr>
                <w:rFonts w:hint="eastAsia" w:ascii="宋体" w:hAnsi="宋体" w:eastAsia="宋体" w:cs="宋体"/>
                <w:color w:val="000000"/>
                <w:spacing w:val="0"/>
                <w:w w:val="100"/>
                <w:position w:val="0"/>
                <w:sz w:val="24"/>
                <w:szCs w:val="24"/>
                <w:lang w:val="zh-CN" w:eastAsia="zh-CN" w:bidi="zh-CN"/>
              </w:rPr>
              <w:t>。外</w:t>
            </w:r>
            <w:r>
              <w:rPr>
                <w:rFonts w:hint="eastAsia" w:ascii="宋体" w:hAnsi="宋体" w:eastAsia="宋体" w:cs="宋体"/>
                <w:color w:val="000000"/>
                <w:spacing w:val="0"/>
                <w:w w:val="100"/>
                <w:position w:val="0"/>
                <w:sz w:val="24"/>
                <w:szCs w:val="24"/>
              </w:rPr>
              <w:t>部信息包括外部参考信息和外部评价信息。外部参考信息包括评价年度相关部门评定的优良信用记录和不良信用记录；外部评价信息是指从相关部门取得的影响纳税人纳税信用评价的指标信息。</w:t>
            </w:r>
          </w:p>
          <w:p>
            <w:pPr>
              <w:bidi w:val="0"/>
              <w:ind w:firstLine="480" w:firstLineChars="200"/>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第十四条</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本办法第十条第四款外部信息主要通过税务管理系统、国家统一信用信息平台、相关</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税务总局</w:t>
            </w:r>
          </w:p>
        </w:tc>
      </w:tr>
      <w:tr>
        <w:tblPrEx>
          <w:tblCellMar>
            <w:top w:w="0" w:type="dxa"/>
            <w:left w:w="10" w:type="dxa"/>
            <w:bottom w:w="0" w:type="dxa"/>
            <w:right w:w="10" w:type="dxa"/>
          </w:tblCellMar>
        </w:tblPrEx>
        <w:trPr>
          <w:trHeight w:val="2541"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lang w:eastAsia="zh-CN"/>
              </w:rPr>
            </w:pPr>
            <w:r>
              <w:rPr>
                <w:rFonts w:hint="eastAsia" w:cs="宋体"/>
                <w:color w:val="000000"/>
                <w:spacing w:val="0"/>
                <w:w w:val="100"/>
                <w:position w:val="0"/>
                <w:sz w:val="24"/>
                <w:szCs w:val="24"/>
                <w:lang w:eastAsia="zh-CN"/>
              </w:rPr>
              <w:t>级别的重要参考。</w:t>
            </w:r>
          </w:p>
        </w:tc>
        <w:tc>
          <w:tcPr>
            <w:tcW w:w="9400"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sz w:val="24"/>
                <w:szCs w:val="24"/>
              </w:rPr>
            </w:pPr>
            <w:r>
              <w:rPr>
                <w:rFonts w:hint="eastAsia" w:ascii="宋体" w:hAnsi="宋体" w:eastAsia="宋体" w:cs="宋体"/>
                <w:sz w:val="24"/>
                <w:szCs w:val="24"/>
              </w:rPr>
              <w:t>部门官方网站、新闻媒体或者媒介等渠道釆集。通过新闻媒体或者媒介采集的信息应核实后使用。</w:t>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第十五条</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纳税信用评价釆取年度评价指标得分和直接判级方式。评价指标包括税务内部信息和外部评价信息。</w:t>
            </w:r>
          </w:p>
          <w:p>
            <w:pPr>
              <w:bidi w:val="0"/>
              <w:ind w:firstLine="480" w:firstLineChars="200"/>
              <w:rPr>
                <w:rFonts w:hint="eastAsia" w:ascii="宋体" w:hAnsi="宋体" w:eastAsia="宋体" w:cs="宋体"/>
                <w:szCs w:val="24"/>
              </w:rPr>
            </w:pPr>
            <w:r>
              <w:rPr>
                <w:rFonts w:hint="eastAsia" w:ascii="宋体" w:hAnsi="宋体" w:eastAsia="宋体" w:cs="宋体"/>
                <w:sz w:val="24"/>
                <w:szCs w:val="24"/>
              </w:rPr>
              <w:t xml:space="preserve">第十八条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纳税信用级别设</w:t>
            </w:r>
            <w:r>
              <w:rPr>
                <w:rFonts w:hint="eastAsia" w:ascii="宋体" w:hAnsi="宋体" w:eastAsia="宋体" w:cs="宋体"/>
                <w:sz w:val="24"/>
                <w:szCs w:val="24"/>
                <w:lang w:val="en-US" w:eastAsia="en-US"/>
              </w:rPr>
              <w:t>A、B、C、D</w:t>
            </w:r>
            <w:r>
              <w:rPr>
                <w:rFonts w:hint="eastAsia" w:ascii="宋体" w:hAnsi="宋体" w:eastAsia="宋体" w:cs="宋体"/>
                <w:sz w:val="24"/>
                <w:szCs w:val="24"/>
              </w:rPr>
              <w:t>四级。</w:t>
            </w:r>
            <w:r>
              <w:rPr>
                <w:rFonts w:hint="eastAsia" w:ascii="宋体" w:hAnsi="宋体" w:eastAsia="宋体" w:cs="宋体"/>
                <w:sz w:val="24"/>
                <w:szCs w:val="24"/>
                <w:lang w:val="en-US" w:eastAsia="en-US"/>
              </w:rPr>
              <w:t>A</w:t>
            </w:r>
            <w:r>
              <w:rPr>
                <w:rFonts w:hint="eastAsia" w:ascii="宋体" w:hAnsi="宋体" w:eastAsia="宋体" w:cs="宋体"/>
                <w:sz w:val="24"/>
                <w:szCs w:val="24"/>
              </w:rPr>
              <w:t>级纳税信用为年度评价指标得分90分以上的</w:t>
            </w:r>
            <w:r>
              <w:rPr>
                <w:rFonts w:hint="eastAsia" w:ascii="宋体" w:hAnsi="宋体" w:eastAsia="宋体" w:cs="宋体"/>
                <w:sz w:val="24"/>
                <w:szCs w:val="24"/>
                <w:lang w:eastAsia="zh-CN"/>
              </w:rPr>
              <w:t>；</w:t>
            </w:r>
            <w:r>
              <w:rPr>
                <w:rFonts w:hint="eastAsia" w:ascii="宋体" w:hAnsi="宋体" w:eastAsia="宋体" w:cs="宋体"/>
                <w:sz w:val="24"/>
                <w:szCs w:val="24"/>
                <w:lang w:val="en-US" w:eastAsia="en-US"/>
              </w:rPr>
              <w:t>B</w:t>
            </w:r>
            <w:r>
              <w:rPr>
                <w:rFonts w:hint="eastAsia" w:ascii="宋体" w:hAnsi="宋体" w:eastAsia="宋体" w:cs="宋体"/>
                <w:sz w:val="24"/>
                <w:szCs w:val="24"/>
              </w:rPr>
              <w:t>级纳税信用为年度评价指标得分70分以上不满90分的；</w:t>
            </w:r>
            <w:r>
              <w:rPr>
                <w:rFonts w:hint="eastAsia" w:ascii="宋体" w:hAnsi="宋体" w:eastAsia="宋体" w:cs="宋体"/>
                <w:sz w:val="24"/>
                <w:szCs w:val="24"/>
                <w:lang w:val="en-US" w:eastAsia="en-US"/>
              </w:rPr>
              <w:t>C</w:t>
            </w:r>
            <w:r>
              <w:rPr>
                <w:rFonts w:hint="eastAsia" w:ascii="宋体" w:hAnsi="宋体" w:eastAsia="宋体" w:cs="宋体"/>
                <w:sz w:val="24"/>
                <w:szCs w:val="24"/>
              </w:rPr>
              <w:t>级纳税信用为年度评价指标得分40分以上不满70分的；</w:t>
            </w:r>
            <w:r>
              <w:rPr>
                <w:rFonts w:hint="eastAsia" w:ascii="宋体" w:hAnsi="宋体" w:eastAsia="宋体" w:cs="宋体"/>
                <w:sz w:val="24"/>
                <w:szCs w:val="24"/>
                <w:lang w:val="en-US" w:eastAsia="en-US"/>
              </w:rPr>
              <w:t>D</w:t>
            </w:r>
            <w:r>
              <w:rPr>
                <w:rFonts w:hint="eastAsia" w:ascii="宋体" w:hAnsi="宋体" w:eastAsia="宋体" w:cs="宋体"/>
                <w:sz w:val="24"/>
                <w:szCs w:val="24"/>
              </w:rPr>
              <w:t>级纳税信用为年度评价指标得分不满40分或者直接判级确定的。</w:t>
            </w:r>
          </w:p>
          <w:p>
            <w:pPr>
              <w:bidi w:val="0"/>
              <w:ind w:firstLine="480" w:firstLineChars="200"/>
              <w:rPr>
                <w:rFonts w:hint="eastAsia" w:ascii="宋体" w:hAnsi="宋体" w:eastAsia="宋体" w:cs="宋体"/>
                <w:color w:val="000000"/>
                <w:spacing w:val="0"/>
                <w:w w:val="100"/>
                <w:position w:val="0"/>
                <w:sz w:val="24"/>
                <w:szCs w:val="24"/>
              </w:rPr>
            </w:pP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p>
        </w:tc>
      </w:tr>
      <w:tr>
        <w:tblPrEx>
          <w:tblCellMar>
            <w:top w:w="0" w:type="dxa"/>
            <w:left w:w="10" w:type="dxa"/>
            <w:bottom w:w="0" w:type="dxa"/>
            <w:right w:w="10" w:type="dxa"/>
          </w:tblCellMar>
        </w:tblPrEx>
        <w:trPr>
          <w:trHeight w:val="4517"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10、对失信主体申请适用海关认证企业管理的，不予通过认 证；对已经成为认证企业的，按照规定下调企业信用等级。</w:t>
            </w:r>
          </w:p>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rPr>
            </w:pPr>
          </w:p>
        </w:tc>
        <w:tc>
          <w:tcPr>
            <w:tcW w:w="9400" w:type="dxa"/>
            <w:tcBorders>
              <w:top w:val="single" w:color="auto" w:sz="4" w:space="0"/>
              <w:left w:val="single" w:color="auto" w:sz="4" w:space="0"/>
              <w:bottom w:val="single" w:color="auto" w:sz="4" w:space="0"/>
            </w:tcBorders>
            <w:shd w:val="clear" w:color="auto" w:fill="FFFFFF"/>
            <w:vAlign w:val="top"/>
          </w:tcPr>
          <w:p>
            <w:pPr>
              <w:numPr>
                <w:ilvl w:val="0"/>
                <w:numId w:val="6"/>
              </w:numPr>
              <w:bidi w:val="0"/>
              <w:ind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《国务院关于促进市场公平竞争维护市场正常秩序的若干意见</w:t>
            </w:r>
            <w:r>
              <w:rPr>
                <w:rFonts w:hint="eastAsia" w:ascii="宋体" w:hAnsi="宋体" w:eastAsia="宋体" w:cs="宋体"/>
                <w:color w:val="000000"/>
                <w:spacing w:val="0"/>
                <w:w w:val="100"/>
                <w:position w:val="0"/>
                <w:sz w:val="24"/>
                <w:szCs w:val="24"/>
                <w:lang w:eastAsia="zh-CN"/>
              </w:rPr>
              <w:t>》</w:t>
            </w:r>
          </w:p>
          <w:p>
            <w:pPr>
              <w:numPr>
                <w:ilvl w:val="0"/>
                <w:numId w:val="5"/>
              </w:numPr>
              <w:bidi w:val="0"/>
              <w:ind w:left="0" w:leftChars="0" w:right="0" w:rightChars="0"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建立健全守信激励和失信惩戒机制。</w:t>
            </w:r>
            <w:r>
              <w:rPr>
                <w:rFonts w:hint="eastAsia" w:ascii="宋体" w:hAnsi="宋体" w:eastAsia="宋体" w:cs="宋体"/>
                <w:color w:val="000000"/>
                <w:spacing w:val="0"/>
                <w:w w:val="100"/>
                <w:position w:val="0"/>
                <w:sz w:val="24"/>
                <w:szCs w:val="24"/>
                <w:lang w:val="zh-CN" w:eastAsia="zh-CN" w:bidi="zh-CN"/>
              </w:rPr>
              <w:t>对</w:t>
            </w:r>
            <w:r>
              <w:rPr>
                <w:rFonts w:hint="eastAsia" w:ascii="宋体" w:hAnsi="宋体" w:eastAsia="宋体" w:cs="宋体"/>
                <w:color w:val="000000"/>
                <w:spacing w:val="0"/>
                <w:w w:val="100"/>
                <w:position w:val="0"/>
                <w:sz w:val="24"/>
                <w:szCs w:val="24"/>
              </w:rPr>
              <w:t>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r>
              <w:rPr>
                <w:rFonts w:hint="eastAsia" w:ascii="宋体" w:hAnsi="宋体" w:eastAsia="宋体" w:cs="宋体"/>
                <w:color w:val="000000"/>
                <w:spacing w:val="0"/>
                <w:w w:val="100"/>
                <w:position w:val="0"/>
                <w:sz w:val="24"/>
                <w:szCs w:val="24"/>
                <w:lang w:eastAsia="zh-CN"/>
              </w:rPr>
              <w:t>。</w:t>
            </w:r>
          </w:p>
          <w:p>
            <w:pPr>
              <w:numPr>
                <w:ilvl w:val="0"/>
                <w:numId w:val="6"/>
              </w:numPr>
              <w:bidi w:val="0"/>
              <w:ind w:left="0" w:leftChars="0" w:right="0" w:rightChars="0"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《关于公布</w:t>
            </w:r>
            <w:r>
              <w:rPr>
                <w:rFonts w:hint="eastAsia" w:ascii="宋体" w:hAnsi="宋体" w:eastAsia="宋体" w:cs="宋体"/>
                <w:color w:val="000000"/>
                <w:spacing w:val="0"/>
                <w:w w:val="100"/>
                <w:position w:val="0"/>
                <w:sz w:val="24"/>
                <w:szCs w:val="24"/>
                <w:lang w:val="zh-CN" w:eastAsia="zh-CN" w:bidi="zh-CN"/>
              </w:rPr>
              <w:t>〈海关</w:t>
            </w:r>
            <w:r>
              <w:rPr>
                <w:rFonts w:hint="eastAsia" w:ascii="宋体" w:hAnsi="宋体" w:eastAsia="宋体" w:cs="宋体"/>
                <w:color w:val="000000"/>
                <w:spacing w:val="0"/>
                <w:w w:val="100"/>
                <w:position w:val="0"/>
                <w:sz w:val="24"/>
                <w:szCs w:val="24"/>
              </w:rPr>
              <w:t>认证企业标准 ＞的公告</w:t>
            </w:r>
            <w:r>
              <w:rPr>
                <w:rFonts w:hint="eastAsia" w:ascii="宋体" w:hAnsi="宋体" w:eastAsia="宋体" w:cs="宋体"/>
                <w:color w:val="000000"/>
                <w:spacing w:val="0"/>
                <w:w w:val="100"/>
                <w:position w:val="0"/>
                <w:sz w:val="24"/>
                <w:szCs w:val="24"/>
                <w:lang w:eastAsia="zh-CN"/>
              </w:rPr>
              <w:t>》</w:t>
            </w:r>
          </w:p>
          <w:p>
            <w:pPr>
              <w:numPr>
                <w:ilvl w:val="0"/>
                <w:numId w:val="0"/>
              </w:numPr>
              <w:bidi w:val="0"/>
              <w:ind w:right="0" w:rightChars="0"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《海关认证企业标准（一般认证）》认证标准第（九）项 未有不良外部信用：企业或者其企业法定代表人（负责人）、负责关务的高级管理人员、财务负责人连续1年在工商、商务、税务、银行、外汇、检验检疫、公安、检察院、法院等部门未被列入经营异常名录、失信企业或者人员名单、黑名单企业、人员</w:t>
            </w:r>
            <w:r>
              <w:rPr>
                <w:rFonts w:hint="eastAsia" w:ascii="宋体" w:hAnsi="宋体" w:eastAsia="宋体" w:cs="宋体"/>
                <w:color w:val="000000"/>
                <w:spacing w:val="0"/>
                <w:w w:val="100"/>
                <w:position w:val="0"/>
                <w:sz w:val="24"/>
                <w:szCs w:val="24"/>
                <w:lang w:eastAsia="zh-CN"/>
              </w:rPr>
              <w:t>。</w:t>
            </w:r>
          </w:p>
          <w:p>
            <w:pPr>
              <w:numPr>
                <w:ilvl w:val="0"/>
                <w:numId w:val="0"/>
              </w:numPr>
              <w:bidi w:val="0"/>
              <w:ind w:right="0" w:rightChars="0"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《海关认证企业标准（高级认证）</w:t>
            </w:r>
            <w:r>
              <w:rPr>
                <w:rFonts w:hint="eastAsia" w:ascii="宋体" w:hAnsi="宋体" w:eastAsia="宋体" w:cs="宋体"/>
                <w:color w:val="auto"/>
                <w:spacing w:val="0"/>
                <w:w w:val="100"/>
                <w:position w:val="0"/>
                <w:sz w:val="24"/>
                <w:szCs w:val="24"/>
                <w:lang w:eastAsia="zh-CN"/>
              </w:rPr>
              <w:t>》</w:t>
            </w:r>
            <w:r>
              <w:rPr>
                <w:rFonts w:hint="eastAsia" w:ascii="宋体" w:hAnsi="宋体" w:eastAsia="宋体" w:cs="宋体"/>
                <w:color w:val="000000"/>
                <w:spacing w:val="0"/>
                <w:w w:val="100"/>
                <w:position w:val="0"/>
                <w:sz w:val="24"/>
                <w:szCs w:val="24"/>
              </w:rPr>
              <w:t>认证标准第（九）项 未有不良外部信用：企业或者其法定代表人（负责人）、负责关务的高级管理人员、财务负责人连续1年在工商、商务、税务、银行、外汇、检验检疫、公安、检察院、法院等部门未被列入经营异常名录、失信企业或者人员名单、黑</w:t>
            </w:r>
            <w:r>
              <w:rPr>
                <w:rFonts w:hint="eastAsia" w:ascii="宋体" w:hAnsi="宋体" w:eastAsia="宋体" w:cs="宋体"/>
                <w:color w:val="000000"/>
                <w:spacing w:val="0"/>
                <w:w w:val="100"/>
                <w:position w:val="0"/>
                <w:sz w:val="24"/>
                <w:szCs w:val="24"/>
                <w:u w:val="none"/>
              </w:rPr>
              <w:t>名单企业、人员</w:t>
            </w:r>
            <w:r>
              <w:rPr>
                <w:rFonts w:hint="eastAsia" w:ascii="宋体" w:hAnsi="宋体" w:eastAsia="宋体" w:cs="宋体"/>
                <w:color w:val="000000"/>
                <w:spacing w:val="0"/>
                <w:w w:val="100"/>
                <w:position w:val="0"/>
                <w:sz w:val="24"/>
                <w:szCs w:val="24"/>
                <w:u w:val="none"/>
                <w:lang w:eastAsia="zh-CN"/>
              </w:rPr>
              <w:t>。</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海关总署</w:t>
            </w:r>
          </w:p>
        </w:tc>
      </w:tr>
      <w:tr>
        <w:tblPrEx>
          <w:tblCellMar>
            <w:top w:w="0" w:type="dxa"/>
            <w:left w:w="10" w:type="dxa"/>
            <w:bottom w:w="0" w:type="dxa"/>
            <w:right w:w="10" w:type="dxa"/>
          </w:tblCellMar>
        </w:tblPrEx>
        <w:trPr>
          <w:trHeight w:val="1228"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11、在失信主体办理通关等海关业务时，对其</w:t>
            </w:r>
          </w:p>
        </w:tc>
        <w:tc>
          <w:tcPr>
            <w:tcW w:w="9400" w:type="dxa"/>
            <w:tcBorders>
              <w:top w:val="single" w:color="auto" w:sz="4" w:space="0"/>
              <w:left w:val="single" w:color="auto" w:sz="4" w:space="0"/>
              <w:bottom w:val="single" w:color="auto" w:sz="4" w:space="0"/>
            </w:tcBorders>
            <w:shd w:val="clear" w:color="auto" w:fill="FFFFFF"/>
            <w:vAlign w:val="top"/>
          </w:tcPr>
          <w:p>
            <w:pPr>
              <w:numPr>
                <w:ilvl w:val="0"/>
                <w:numId w:val="7"/>
              </w:numPr>
              <w:bidi w:val="0"/>
              <w:ind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《中华人民共和国海关企业信用管理暂行办法</w:t>
            </w:r>
            <w:r>
              <w:rPr>
                <w:rFonts w:hint="eastAsia" w:ascii="宋体" w:hAnsi="宋体" w:eastAsia="宋体" w:cs="宋体"/>
                <w:color w:val="000000"/>
                <w:spacing w:val="0"/>
                <w:w w:val="100"/>
                <w:position w:val="0"/>
                <w:sz w:val="24"/>
                <w:szCs w:val="24"/>
                <w:lang w:eastAsia="zh-CN"/>
              </w:rPr>
              <w:t>》</w:t>
            </w:r>
          </w:p>
          <w:p>
            <w:pPr>
              <w:numPr>
                <w:ilvl w:val="0"/>
                <w:numId w:val="0"/>
              </w:numPr>
              <w:bidi w:val="0"/>
              <w:ind w:right="0" w:rightChars="0"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第三条</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海关根据企业信用状况将企业认定为认证企业、一般信用企业和失信企业，按照诚信守法便利、失信违法惩戒原则，分别适用相应的管理措施</w:t>
            </w:r>
            <w:r>
              <w:rPr>
                <w:rFonts w:hint="eastAsia" w:ascii="宋体" w:hAnsi="宋体" w:eastAsia="宋体" w:cs="宋体"/>
                <w:color w:val="000000"/>
                <w:spacing w:val="0"/>
                <w:w w:val="100"/>
                <w:position w:val="0"/>
                <w:sz w:val="24"/>
                <w:szCs w:val="24"/>
                <w:lang w:eastAsia="zh-CN"/>
              </w:rPr>
              <w:t>。</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海关总署</w:t>
            </w:r>
          </w:p>
        </w:tc>
      </w:tr>
      <w:tr>
        <w:tblPrEx>
          <w:tblCellMar>
            <w:top w:w="0" w:type="dxa"/>
            <w:left w:w="10" w:type="dxa"/>
            <w:bottom w:w="0" w:type="dxa"/>
            <w:right w:w="10" w:type="dxa"/>
          </w:tblCellMar>
        </w:tblPrEx>
        <w:trPr>
          <w:trHeight w:val="1575"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both"/>
              <w:rPr>
                <w:rFonts w:hint="eastAsia" w:ascii="宋体" w:hAnsi="宋体" w:eastAsia="宋体" w:cs="宋体"/>
                <w:color w:val="000000"/>
                <w:spacing w:val="0"/>
                <w:w w:val="100"/>
                <w:position w:val="0"/>
                <w:sz w:val="24"/>
                <w:szCs w:val="24"/>
              </w:rPr>
            </w:pPr>
            <w:r>
              <w:rPr>
                <w:color w:val="000000"/>
                <w:spacing w:val="0"/>
                <w:w w:val="100"/>
                <w:position w:val="0"/>
                <w:sz w:val="24"/>
                <w:szCs w:val="24"/>
              </w:rPr>
              <w:t>进出口货物实施严密监管，加强单证审核、布控査验或后续稽查。</w:t>
            </w:r>
          </w:p>
        </w:tc>
        <w:tc>
          <w:tcPr>
            <w:tcW w:w="9400" w:type="dxa"/>
            <w:tcBorders>
              <w:top w:val="single" w:color="auto" w:sz="4" w:space="0"/>
              <w:left w:val="single" w:color="auto" w:sz="4" w:space="0"/>
              <w:bottom w:val="single" w:color="auto" w:sz="4" w:space="0"/>
            </w:tcBorders>
            <w:shd w:val="clear" w:color="auto" w:fill="FFFFFF"/>
            <w:vAlign w:val="top"/>
          </w:tcPr>
          <w:p>
            <w:pPr>
              <w:numPr>
                <w:ilvl w:val="0"/>
                <w:numId w:val="0"/>
              </w:numPr>
              <w:bidi w:val="0"/>
              <w:ind w:right="0" w:rightChars="0" w:firstLine="480" w:firstLineChars="200"/>
              <w:rPr>
                <w:rFonts w:hint="eastAsia" w:ascii="宋体" w:hAnsi="宋体" w:eastAsia="宋体" w:cs="宋体"/>
                <w:color w:val="000000"/>
                <w:spacing w:val="0"/>
                <w:w w:val="100"/>
                <w:position w:val="0"/>
                <w:sz w:val="24"/>
                <w:szCs w:val="24"/>
              </w:rPr>
            </w:pP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p>
        </w:tc>
      </w:tr>
      <w:tr>
        <w:tblPrEx>
          <w:tblCellMar>
            <w:top w:w="0" w:type="dxa"/>
            <w:left w:w="10" w:type="dxa"/>
            <w:bottom w:w="0" w:type="dxa"/>
            <w:right w:w="10" w:type="dxa"/>
          </w:tblCellMar>
        </w:tblPrEx>
        <w:trPr>
          <w:trHeight w:val="3985"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12、将失信主体的信用状况作为进出口检验检疫监管的重要参考。</w:t>
            </w:r>
          </w:p>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rPr>
            </w:pPr>
          </w:p>
        </w:tc>
        <w:tc>
          <w:tcPr>
            <w:tcW w:w="9400" w:type="dxa"/>
            <w:tcBorders>
              <w:top w:val="single" w:color="auto" w:sz="4" w:space="0"/>
              <w:left w:val="single" w:color="auto" w:sz="4" w:space="0"/>
              <w:bottom w:val="single" w:color="auto" w:sz="4" w:space="0"/>
            </w:tcBorders>
            <w:shd w:val="clear" w:color="auto" w:fill="FFFFFF"/>
            <w:vAlign w:val="top"/>
          </w:tcPr>
          <w:p>
            <w:pPr>
              <w:pStyle w:val="30"/>
              <w:keepNext w:val="0"/>
              <w:keepLines w:val="0"/>
              <w:widowControl w:val="0"/>
              <w:shd w:val="clear" w:color="auto" w:fill="auto"/>
              <w:tabs>
                <w:tab w:val="left" w:pos="2480"/>
              </w:tabs>
              <w:bidi w:val="0"/>
              <w:spacing w:before="0" w:after="0" w:line="240" w:lineRule="auto"/>
              <w:ind w:right="0" w:firstLine="480" w:firstLineChars="200"/>
              <w:jc w:val="left"/>
              <w:rPr>
                <w:rFonts w:hint="eastAsia" w:ascii="宋体" w:hAnsi="宋体" w:eastAsia="宋体" w:cs="宋体"/>
                <w:sz w:val="24"/>
                <w:szCs w:val="24"/>
              </w:rPr>
            </w:pPr>
            <w:bookmarkStart w:id="57" w:name="bookmark62"/>
            <w:r>
              <w:rPr>
                <w:rFonts w:hint="eastAsia" w:ascii="宋体" w:hAnsi="宋体" w:eastAsia="宋体" w:cs="宋体"/>
                <w:color w:val="000000"/>
                <w:spacing w:val="0"/>
                <w:w w:val="100"/>
                <w:position w:val="0"/>
                <w:sz w:val="24"/>
                <w:szCs w:val="24"/>
              </w:rPr>
              <w:t>1</w:t>
            </w:r>
            <w:bookmarkEnd w:id="57"/>
            <w:r>
              <w:rPr>
                <w:rFonts w:hint="eastAsia" w:ascii="宋体" w:hAnsi="宋体" w:eastAsia="宋体" w:cs="宋体"/>
                <w:color w:val="000000"/>
                <w:spacing w:val="0"/>
                <w:w w:val="100"/>
                <w:position w:val="0"/>
                <w:sz w:val="24"/>
                <w:szCs w:val="24"/>
              </w:rPr>
              <w:t>、《国务院关于促进市场公平竞争维护市场正常秩序的若干意见》</w:t>
            </w:r>
          </w:p>
          <w:p>
            <w:pPr>
              <w:pStyle w:val="30"/>
              <w:keepNext w:val="0"/>
              <w:keepLines w:val="0"/>
              <w:widowControl w:val="0"/>
              <w:shd w:val="clear" w:color="auto" w:fill="auto"/>
              <w:bidi w:val="0"/>
              <w:spacing w:before="0" w:after="0" w:line="240" w:lineRule="auto"/>
              <w:ind w:right="0" w:firstLine="480" w:firstLineChars="20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十五）建立健全守信激励和失信惩戒机制。将市场主体的信用信息作为实施行政管理的重要参考。对守信主体予以支持和激励，对失信主体在经营、投融资、取得政府供应土地、进出口、出入境、注册新公司、工程招投标、</w:t>
            </w:r>
            <w:r>
              <w:rPr>
                <w:rFonts w:hint="eastAsia" w:cs="宋体"/>
                <w:color w:val="000000"/>
                <w:spacing w:val="0"/>
                <w:w w:val="100"/>
                <w:position w:val="0"/>
                <w:sz w:val="24"/>
                <w:szCs w:val="24"/>
                <w:lang w:eastAsia="zh-CN"/>
              </w:rPr>
              <w:t>政</w:t>
            </w:r>
            <w:r>
              <w:rPr>
                <w:rFonts w:hint="eastAsia" w:ascii="宋体" w:hAnsi="宋体" w:eastAsia="宋体" w:cs="宋体"/>
                <w:color w:val="000000"/>
                <w:spacing w:val="0"/>
                <w:w w:val="100"/>
                <w:position w:val="0"/>
                <w:sz w:val="24"/>
                <w:szCs w:val="24"/>
              </w:rPr>
              <w:t>府采购、获得荣誉、安全许可、生产许可、从业任职资格、资质审核等方面依法予以限制或禁止，对严重违法失信主体实行市场禁入制度。</w:t>
            </w:r>
          </w:p>
          <w:p>
            <w:pPr>
              <w:pStyle w:val="30"/>
              <w:keepNext w:val="0"/>
              <w:keepLines w:val="0"/>
              <w:widowControl w:val="0"/>
              <w:shd w:val="clear" w:color="auto" w:fill="auto"/>
              <w:tabs>
                <w:tab w:val="left" w:pos="2480"/>
              </w:tabs>
              <w:bidi w:val="0"/>
              <w:spacing w:before="0" w:after="0" w:line="240" w:lineRule="auto"/>
              <w:ind w:right="0" w:firstLine="480" w:firstLineChars="200"/>
              <w:jc w:val="left"/>
              <w:rPr>
                <w:rFonts w:hint="eastAsia" w:ascii="宋体" w:hAnsi="宋体" w:eastAsia="宋体" w:cs="宋体"/>
                <w:sz w:val="24"/>
                <w:szCs w:val="24"/>
              </w:rPr>
            </w:pPr>
            <w:bookmarkStart w:id="58" w:name="bookmark63"/>
            <w:r>
              <w:rPr>
                <w:rFonts w:hint="eastAsia" w:ascii="宋体" w:hAnsi="宋体" w:eastAsia="宋体" w:cs="宋体"/>
                <w:color w:val="000000"/>
                <w:spacing w:val="0"/>
                <w:w w:val="100"/>
                <w:position w:val="0"/>
                <w:sz w:val="24"/>
                <w:szCs w:val="24"/>
              </w:rPr>
              <w:t>2</w:t>
            </w:r>
            <w:bookmarkEnd w:id="58"/>
            <w:r>
              <w:rPr>
                <w:rFonts w:hint="eastAsia" w:ascii="宋体" w:hAnsi="宋体" w:eastAsia="宋体" w:cs="宋体"/>
                <w:color w:val="000000"/>
                <w:spacing w:val="0"/>
                <w:w w:val="100"/>
                <w:position w:val="0"/>
                <w:sz w:val="24"/>
                <w:szCs w:val="24"/>
              </w:rPr>
              <w:t>、《出入境检验检疫企业信用管理办法》</w:t>
            </w:r>
          </w:p>
          <w:p>
            <w:pPr>
              <w:pStyle w:val="30"/>
              <w:keepNext w:val="0"/>
              <w:keepLines w:val="0"/>
              <w:widowControl w:val="0"/>
              <w:shd w:val="clear" w:color="auto" w:fill="auto"/>
              <w:bidi w:val="0"/>
              <w:spacing w:before="0" w:after="0" w:line="240" w:lineRule="auto"/>
              <w:ind w:right="0" w:firstLine="480" w:firstLineChars="20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第二十三条</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检验检疫机构按</w:t>
            </w:r>
            <w:r>
              <w:rPr>
                <w:rFonts w:hint="eastAsia" w:ascii="宋体" w:hAnsi="宋体" w:eastAsia="宋体" w:cs="宋体"/>
                <w:color w:val="000000"/>
                <w:spacing w:val="0"/>
                <w:w w:val="100"/>
                <w:position w:val="0"/>
                <w:sz w:val="24"/>
                <w:szCs w:val="24"/>
                <w:lang w:val="zh-CN" w:eastAsia="zh-CN" w:bidi="zh-CN"/>
              </w:rPr>
              <w:t>“守信</w:t>
            </w:r>
            <w:r>
              <w:rPr>
                <w:rFonts w:hint="eastAsia" w:ascii="宋体" w:hAnsi="宋体" w:eastAsia="宋体" w:cs="宋体"/>
                <w:color w:val="000000"/>
                <w:spacing w:val="0"/>
                <w:w w:val="100"/>
                <w:position w:val="0"/>
                <w:sz w:val="24"/>
                <w:szCs w:val="24"/>
              </w:rPr>
              <w:t>便利，失信惩戒”的原则，将企业信用等级作为开展检验检疫监督管理工作的基础，对不同信用等级的企业分别实施相应的检验检疫监管措施。</w:t>
            </w:r>
          </w:p>
          <w:p>
            <w:pPr>
              <w:numPr>
                <w:ilvl w:val="0"/>
                <w:numId w:val="0"/>
              </w:numPr>
              <w:bidi w:val="0"/>
              <w:ind w:right="0" w:rightChars="0" w:firstLine="480" w:firstLineChars="200"/>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u w:val="none"/>
              </w:rPr>
              <w:t>第二十四条</w:t>
            </w:r>
            <w:r>
              <w:rPr>
                <w:rFonts w:hint="eastAsia" w:ascii="宋体" w:hAnsi="宋体" w:eastAsia="宋体" w:cs="宋体"/>
                <w:color w:val="000000"/>
                <w:spacing w:val="0"/>
                <w:w w:val="100"/>
                <w:position w:val="0"/>
                <w:sz w:val="24"/>
                <w:szCs w:val="24"/>
                <w:u w:val="none"/>
                <w:lang w:val="en-US" w:eastAsia="zh-CN"/>
              </w:rPr>
              <w:t xml:space="preserve">  </w:t>
            </w:r>
            <w:r>
              <w:rPr>
                <w:rFonts w:hint="eastAsia" w:ascii="宋体" w:hAnsi="宋体" w:eastAsia="宋体" w:cs="宋体"/>
                <w:color w:val="000000"/>
                <w:spacing w:val="0"/>
                <w:w w:val="100"/>
                <w:position w:val="0"/>
                <w:sz w:val="24"/>
                <w:szCs w:val="24"/>
                <w:u w:val="none"/>
              </w:rPr>
              <w:t>检验检疫机构可针对不同的信用等级制定和完善符合实际管理需要的监管措施。</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质检总局</w:t>
            </w:r>
          </w:p>
        </w:tc>
      </w:tr>
      <w:tr>
        <w:tblPrEx>
          <w:tblCellMar>
            <w:top w:w="0" w:type="dxa"/>
            <w:left w:w="10" w:type="dxa"/>
            <w:bottom w:w="0" w:type="dxa"/>
            <w:right w:w="10" w:type="dxa"/>
          </w:tblCellMar>
        </w:tblPrEx>
        <w:trPr>
          <w:trHeight w:val="3191"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rPr>
            </w:pPr>
          </w:p>
        </w:tc>
        <w:tc>
          <w:tcPr>
            <w:tcW w:w="9400" w:type="dxa"/>
            <w:tcBorders>
              <w:top w:val="single" w:color="auto" w:sz="4" w:space="0"/>
              <w:left w:val="single" w:color="auto" w:sz="4" w:space="0"/>
              <w:bottom w:val="single" w:color="auto" w:sz="4" w:space="0"/>
            </w:tcBorders>
            <w:shd w:val="clear" w:color="auto" w:fill="FFFFFF"/>
            <w:vAlign w:val="top"/>
          </w:tcPr>
          <w:p>
            <w:pPr>
              <w:bidi w:val="0"/>
              <w:ind w:firstLine="480" w:firstLineChars="200"/>
              <w:rPr>
                <w:rFonts w:hint="eastAsia" w:ascii="宋体" w:hAnsi="宋体" w:eastAsia="宋体" w:cs="宋体"/>
              </w:rPr>
            </w:pPr>
            <w:bookmarkStart w:id="59" w:name="bookmark64"/>
            <w:r>
              <w:rPr>
                <w:rFonts w:hint="eastAsia" w:ascii="宋体" w:hAnsi="宋体" w:eastAsia="宋体" w:cs="宋体"/>
              </w:rPr>
              <w:t>1</w:t>
            </w:r>
            <w:bookmarkEnd w:id="59"/>
            <w:r>
              <w:rPr>
                <w:rFonts w:hint="eastAsia" w:ascii="宋体" w:hAnsi="宋体" w:eastAsia="宋体" w:cs="宋体"/>
              </w:rPr>
              <w:t>、《国务院关于促进市场公平竞争维护市场正常秩序的若干意见》</w:t>
            </w:r>
          </w:p>
          <w:p>
            <w:pPr>
              <w:bidi w:val="0"/>
              <w:ind w:firstLine="480" w:firstLineChars="200"/>
              <w:rPr>
                <w:rFonts w:hint="eastAsia" w:ascii="宋体" w:hAnsi="宋体" w:eastAsia="宋体" w:cs="宋体"/>
              </w:rPr>
            </w:pPr>
            <w:r>
              <w:rPr>
                <w:rFonts w:hint="eastAsia" w:ascii="宋体" w:hAnsi="宋体" w:eastAsia="宋体" w:cs="宋体"/>
              </w:rPr>
              <w:t>（十五）建立健全守信激励和失信惩戒机制。</w:t>
            </w:r>
            <w:r>
              <w:rPr>
                <w:rFonts w:hint="eastAsia" w:ascii="宋体" w:hAnsi="宋体" w:eastAsia="宋体" w:cs="宋体"/>
                <w:lang w:val="zh-CN" w:eastAsia="zh-CN"/>
              </w:rPr>
              <w:t>对</w:t>
            </w:r>
            <w:r>
              <w:rPr>
                <w:rFonts w:hint="eastAsia" w:ascii="宋体" w:hAnsi="宋体" w:eastAsia="宋体" w:cs="宋体"/>
              </w:rPr>
              <w:t>守信主体予以支持和激励，对失信主体在经营、投融资、取得政府供应土地、进出口、出入境、注册新公司、工程招投标、政府釆购、获得荣誉、安全许可、生产许可、从业任职资格、资质审核等方面依法予以限制或禁止，对</w:t>
            </w:r>
            <w:r>
              <w:rPr>
                <w:rFonts w:hint="eastAsia" w:ascii="宋体" w:hAnsi="宋体" w:eastAsia="宋体" w:cs="宋体"/>
                <w:lang w:eastAsia="zh-CN"/>
              </w:rPr>
              <w:t>严</w:t>
            </w:r>
            <w:r>
              <w:rPr>
                <w:rFonts w:hint="eastAsia" w:ascii="宋体" w:hAnsi="宋体" w:eastAsia="宋体" w:cs="宋体"/>
              </w:rPr>
              <w:t>重违法失信主体实行市场禁入制度。</w:t>
            </w:r>
          </w:p>
          <w:p>
            <w:pPr>
              <w:bidi w:val="0"/>
              <w:ind w:firstLine="480" w:firstLineChars="200"/>
              <w:rPr>
                <w:rFonts w:hint="eastAsia" w:ascii="宋体" w:hAnsi="宋体" w:eastAsia="宋体" w:cs="宋体"/>
              </w:rPr>
            </w:pPr>
            <w:bookmarkStart w:id="60" w:name="bookmark65"/>
            <w:r>
              <w:rPr>
                <w:rFonts w:hint="eastAsia" w:ascii="宋体" w:hAnsi="宋体" w:eastAsia="宋体" w:cs="宋体"/>
              </w:rPr>
              <w:t>2</w:t>
            </w:r>
            <w:bookmarkEnd w:id="60"/>
            <w:r>
              <w:rPr>
                <w:rFonts w:hint="eastAsia" w:ascii="宋体" w:hAnsi="宋体" w:eastAsia="宋体" w:cs="宋体"/>
                <w:lang w:eastAsia="zh-CN"/>
              </w:rPr>
              <w:t>、</w:t>
            </w:r>
            <w:r>
              <w:rPr>
                <w:rFonts w:hint="eastAsia" w:ascii="宋体" w:hAnsi="宋体" w:eastAsia="宋体" w:cs="宋体"/>
              </w:rPr>
              <w:t xml:space="preserve">《国务院关于建立完善守信联合激励和失信联合惩戒制度加快推进社会诚信建设的指导意见》 </w:t>
            </w:r>
          </w:p>
          <w:p>
            <w:pPr>
              <w:bidi w:val="0"/>
              <w:ind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rPr>
              <w:t>（十一）加强对失信行为的市场性约束和惩戒。</w:t>
            </w:r>
            <w:r>
              <w:rPr>
                <w:rFonts w:hint="eastAsia" w:ascii="宋体" w:hAnsi="宋体" w:eastAsia="宋体" w:cs="宋体"/>
                <w:lang w:val="zh-CN" w:eastAsia="zh-CN"/>
              </w:rPr>
              <w:t>引</w:t>
            </w:r>
            <w:r>
              <w:rPr>
                <w:rFonts w:hint="eastAsia" w:ascii="宋体" w:hAnsi="宋体" w:eastAsia="宋体" w:cs="宋体"/>
              </w:rPr>
              <w:t>导商业银行、证券期货经营机构、保险公司等金融机构按照风险定价原则，对严重失信主体提高贷款利率和财产保险费率，或者限制向其提供贷款、保荐、承销、保险等服务</w:t>
            </w:r>
            <w:r>
              <w:rPr>
                <w:rFonts w:hint="eastAsia" w:ascii="宋体" w:hAnsi="宋体" w:eastAsia="宋体" w:cs="宋体"/>
                <w:lang w:eastAsia="zh-CN"/>
              </w:rPr>
              <w:t>。</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p>
        </w:tc>
      </w:tr>
      <w:tr>
        <w:tblPrEx>
          <w:tblCellMar>
            <w:top w:w="0" w:type="dxa"/>
            <w:left w:w="10" w:type="dxa"/>
            <w:bottom w:w="0" w:type="dxa"/>
            <w:right w:w="10" w:type="dxa"/>
          </w:tblCellMar>
        </w:tblPrEx>
        <w:trPr>
          <w:trHeight w:val="6947"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zh-CN" w:eastAsia="zh-CN" w:bidi="zh-CN"/>
              </w:rPr>
              <w:t>13、</w:t>
            </w:r>
            <w:r>
              <w:rPr>
                <w:rFonts w:hint="eastAsia" w:ascii="宋体" w:hAnsi="宋体" w:eastAsia="宋体" w:cs="宋体"/>
                <w:color w:val="000000"/>
                <w:spacing w:val="0"/>
                <w:w w:val="100"/>
                <w:position w:val="0"/>
                <w:sz w:val="24"/>
                <w:szCs w:val="24"/>
              </w:rPr>
              <w:t>将失信状况作为金融机构融资授信时的审慎性参考。</w:t>
            </w:r>
          </w:p>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rPr>
            </w:pPr>
          </w:p>
        </w:tc>
        <w:tc>
          <w:tcPr>
            <w:tcW w:w="9400" w:type="dxa"/>
            <w:tcBorders>
              <w:top w:val="single" w:color="auto" w:sz="4" w:space="0"/>
              <w:left w:val="single" w:color="auto" w:sz="4" w:space="0"/>
              <w:bottom w:val="single" w:color="auto" w:sz="4" w:space="0"/>
            </w:tcBorders>
            <w:shd w:val="clear" w:color="auto" w:fill="FFFFFF"/>
            <w:vAlign w:val="top"/>
          </w:tcPr>
          <w:p>
            <w:pPr>
              <w:bidi w:val="0"/>
              <w:ind w:firstLine="480" w:firstLineChars="200"/>
              <w:rPr>
                <w:rFonts w:hint="eastAsia"/>
              </w:rPr>
            </w:pPr>
            <w:bookmarkStart w:id="61" w:name="bookmark66"/>
            <w:r>
              <w:rPr>
                <w:rFonts w:hint="eastAsia"/>
              </w:rPr>
              <w:t>3</w:t>
            </w:r>
            <w:bookmarkEnd w:id="61"/>
            <w:r>
              <w:rPr>
                <w:rFonts w:hint="eastAsia"/>
              </w:rPr>
              <w:t>、《国务院办公厅关于运用大数据加强对市场主体服务和监管的若干意见》</w:t>
            </w:r>
          </w:p>
          <w:p>
            <w:pPr>
              <w:bidi w:val="0"/>
              <w:ind w:firstLine="480" w:firstLineChars="200"/>
              <w:rPr>
                <w:rFonts w:hint="eastAsia"/>
              </w:rPr>
            </w:pPr>
            <w:r>
              <w:rPr>
                <w:rFonts w:hint="eastAsia"/>
              </w:rPr>
              <w:t>（十三）建立健全失信联合惩戒机制</w:t>
            </w:r>
            <w:r>
              <w:rPr>
                <w:rFonts w:hint="eastAsia"/>
                <w:lang w:val="zh-CN" w:eastAsia="zh-CN"/>
              </w:rPr>
              <w:t>。充</w:t>
            </w:r>
            <w:r>
              <w:rPr>
                <w:rFonts w:hint="eastAsia"/>
              </w:rPr>
              <w:t>分发挥行政、司法、金融、社会等领域的综合监管效能，在市场准入、行政审批、资质认定、享受财政补贴和税收优</w:t>
            </w:r>
            <w:r>
              <w:rPr>
                <w:rFonts w:hint="eastAsia" w:eastAsia="宋体"/>
                <w:lang w:eastAsia="zh-CN"/>
              </w:rPr>
              <w:t>惠</w:t>
            </w:r>
            <w:r>
              <w:rPr>
                <w:rFonts w:hint="eastAsia"/>
              </w:rPr>
              <w:t>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w:t>
            </w:r>
            <w:r>
              <w:rPr>
                <w:rFonts w:hint="eastAsia" w:eastAsia="宋体"/>
                <w:lang w:eastAsia="zh-CN"/>
              </w:rPr>
              <w:t>依</w:t>
            </w:r>
            <w:r>
              <w:rPr>
                <w:rFonts w:hint="eastAsia"/>
              </w:rPr>
              <w:t>法予以限制或禁入。建立各行业</w:t>
            </w:r>
            <w:r>
              <w:rPr>
                <w:rFonts w:hint="eastAsia"/>
                <w:lang w:val="zh-CN" w:eastAsia="zh-CN"/>
              </w:rPr>
              <w:t>“黑</w:t>
            </w:r>
            <w:r>
              <w:rPr>
                <w:rFonts w:hint="eastAsia"/>
              </w:rPr>
              <w:t>名单”制度和市场退出机制。推动将申请人良好的信用状况作为各类行政许可的必备条件。</w:t>
            </w:r>
          </w:p>
          <w:p>
            <w:pPr>
              <w:bidi w:val="0"/>
              <w:ind w:firstLine="480" w:firstLineChars="200"/>
              <w:rPr>
                <w:rFonts w:hint="eastAsia"/>
              </w:rPr>
            </w:pPr>
            <w:bookmarkStart w:id="62" w:name="bookmark67"/>
            <w:r>
              <w:rPr>
                <w:rFonts w:hint="eastAsia"/>
              </w:rPr>
              <w:t>4</w:t>
            </w:r>
            <w:bookmarkEnd w:id="62"/>
            <w:r>
              <w:rPr>
                <w:rFonts w:hint="eastAsia"/>
              </w:rPr>
              <w:t>、《中华人民共和国商业银行法》</w:t>
            </w:r>
          </w:p>
          <w:p>
            <w:pPr>
              <w:bidi w:val="0"/>
              <w:ind w:firstLine="480" w:firstLineChars="200"/>
              <w:rPr>
                <w:rFonts w:hint="eastAsia"/>
              </w:rPr>
            </w:pPr>
            <w:r>
              <w:rPr>
                <w:rFonts w:hint="eastAsia"/>
              </w:rPr>
              <w:t>第三十五条</w:t>
            </w:r>
            <w:r>
              <w:rPr>
                <w:rFonts w:hint="eastAsia" w:eastAsia="宋体"/>
                <w:lang w:val="en-US" w:eastAsia="zh-CN"/>
              </w:rPr>
              <w:t xml:space="preserve">  </w:t>
            </w:r>
            <w:r>
              <w:rPr>
                <w:rFonts w:hint="eastAsia"/>
              </w:rPr>
              <w:t>商业银行贷款，应当对借款人的借款用途、偿还能力、还款方式等情况进行严格审查。</w:t>
            </w:r>
          </w:p>
          <w:p>
            <w:pPr>
              <w:bidi w:val="0"/>
              <w:ind w:firstLine="480" w:firstLineChars="200"/>
              <w:rPr>
                <w:rFonts w:hint="eastAsia"/>
              </w:rPr>
            </w:pPr>
            <w:r>
              <w:rPr>
                <w:rFonts w:hint="eastAsia"/>
              </w:rPr>
              <w:t>商业银行贷款，应当实行审贷分离、分级审批的制度。</w:t>
            </w:r>
          </w:p>
          <w:p>
            <w:pPr>
              <w:bidi w:val="0"/>
              <w:ind w:firstLine="480" w:firstLineChars="200"/>
              <w:rPr>
                <w:rFonts w:hint="eastAsia"/>
              </w:rPr>
            </w:pPr>
            <w:r>
              <w:rPr>
                <w:rFonts w:hint="eastAsia"/>
              </w:rPr>
              <w:t>第三十六条</w:t>
            </w:r>
            <w:r>
              <w:rPr>
                <w:rFonts w:hint="eastAsia" w:eastAsia="宋体"/>
                <w:lang w:val="en-US" w:eastAsia="zh-CN"/>
              </w:rPr>
              <w:t xml:space="preserve">  </w:t>
            </w:r>
            <w:r>
              <w:rPr>
                <w:rFonts w:hint="eastAsia"/>
              </w:rPr>
              <w:t>商业银行贷款，借款人应当提供担保。商业银行应当对保证人的偿还能力，抵押物、 质物的权属和价值以及实现抵押权、质权的可行性进行严格审查。</w:t>
            </w:r>
          </w:p>
          <w:p>
            <w:pPr>
              <w:bidi w:val="0"/>
              <w:ind w:firstLine="480" w:firstLineChars="200"/>
              <w:rPr>
                <w:rFonts w:hint="eastAsia"/>
              </w:rPr>
            </w:pPr>
            <w:r>
              <w:rPr>
                <w:rFonts w:hint="eastAsia"/>
              </w:rPr>
              <w:t>经商业银行审查、评估，确认借款人资信良好，确能偿还贷款的，可以不提供担保。</w:t>
            </w:r>
          </w:p>
          <w:p>
            <w:pPr>
              <w:bidi w:val="0"/>
              <w:ind w:firstLine="480" w:firstLineChars="200"/>
              <w:rPr>
                <w:rFonts w:hint="eastAsia"/>
              </w:rPr>
            </w:pPr>
            <w:bookmarkStart w:id="63" w:name="bookmark68"/>
            <w:r>
              <w:rPr>
                <w:rFonts w:hint="eastAsia"/>
              </w:rPr>
              <w:t>5</w:t>
            </w:r>
            <w:bookmarkEnd w:id="63"/>
            <w:r>
              <w:rPr>
                <w:rFonts w:hint="eastAsia"/>
              </w:rPr>
              <w:t>、《贷款通则》</w:t>
            </w:r>
          </w:p>
          <w:p>
            <w:pPr>
              <w:bidi w:val="0"/>
              <w:ind w:firstLine="480" w:firstLineChars="200"/>
              <w:rPr>
                <w:rFonts w:hint="eastAsia"/>
              </w:rPr>
            </w:pPr>
            <w:r>
              <w:rPr>
                <w:rFonts w:hint="eastAsia"/>
              </w:rPr>
              <w:t>第二十二条</w:t>
            </w:r>
            <w:r>
              <w:rPr>
                <w:rFonts w:hint="eastAsia" w:eastAsia="宋体"/>
                <w:lang w:val="en-US" w:eastAsia="zh-CN"/>
              </w:rPr>
              <w:t xml:space="preserve">  </w:t>
            </w:r>
            <w:r>
              <w:rPr>
                <w:rFonts w:hint="eastAsia"/>
              </w:rPr>
              <w:t>贷款人的权利</w:t>
            </w:r>
          </w:p>
          <w:p>
            <w:pPr>
              <w:bidi w:val="0"/>
              <w:ind w:firstLine="480" w:firstLineChars="200"/>
              <w:rPr>
                <w:rFonts w:hint="eastAsia"/>
              </w:rPr>
            </w:pPr>
            <w:r>
              <w:rPr>
                <w:rFonts w:hint="eastAsia"/>
              </w:rPr>
              <w:t>根据贷款条件和贷款程序自主审查和决定贷款，除国务院批准的特定贷款外，有权拒绝任何单位和个人强令其发放贷款或者提供担保。</w:t>
            </w:r>
          </w:p>
          <w:p>
            <w:pPr>
              <w:bidi w:val="0"/>
              <w:ind w:firstLine="480" w:firstLineChars="200"/>
              <w:rPr>
                <w:rFonts w:hint="eastAsia"/>
              </w:rPr>
            </w:pPr>
            <w:bookmarkStart w:id="64" w:name="bookmark69"/>
            <w:r>
              <w:rPr>
                <w:rFonts w:hint="eastAsia"/>
              </w:rPr>
              <w:t>一</w:t>
            </w:r>
            <w:bookmarkEnd w:id="64"/>
            <w:r>
              <w:rPr>
                <w:rFonts w:hint="eastAsia"/>
              </w:rPr>
              <w:t>、</w:t>
            </w:r>
            <w:r>
              <w:rPr>
                <w:rFonts w:hint="eastAsia"/>
              </w:rPr>
              <w:tab/>
            </w:r>
            <w:r>
              <w:rPr>
                <w:rFonts w:hint="eastAsia"/>
              </w:rPr>
              <w:t>要求借款人提供与借款有关的资料；</w:t>
            </w:r>
          </w:p>
          <w:p>
            <w:pPr>
              <w:bidi w:val="0"/>
              <w:ind w:firstLine="480" w:firstLineChars="200"/>
              <w:rPr>
                <w:rFonts w:hint="eastAsia" w:ascii="宋体" w:hAnsi="宋体" w:eastAsia="宋体" w:cs="宋体"/>
              </w:rPr>
            </w:pPr>
            <w:bookmarkStart w:id="65" w:name="bookmark70"/>
            <w:r>
              <w:rPr>
                <w:rFonts w:hint="eastAsia"/>
              </w:rPr>
              <w:t>二</w:t>
            </w:r>
            <w:bookmarkEnd w:id="65"/>
            <w:r>
              <w:rPr>
                <w:rFonts w:hint="eastAsia"/>
              </w:rPr>
              <w:t>、</w:t>
            </w:r>
            <w:r>
              <w:rPr>
                <w:rFonts w:hint="eastAsia"/>
              </w:rPr>
              <w:tab/>
            </w:r>
            <w:r>
              <w:rPr>
                <w:rFonts w:hint="eastAsia"/>
              </w:rPr>
              <w:t>根据借款人的条件，决定贷与不贷、贷款金额、期限和利率</w:t>
            </w:r>
            <w:r>
              <w:rPr>
                <w:rFonts w:hint="eastAsia"/>
                <w:lang w:val="zh-CN" w:eastAsia="zh-CN"/>
              </w:rPr>
              <w:t>等；</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人民银行、银监会</w:t>
            </w:r>
          </w:p>
        </w:tc>
      </w:tr>
      <w:tr>
        <w:tblPrEx>
          <w:tblCellMar>
            <w:top w:w="0" w:type="dxa"/>
            <w:left w:w="10" w:type="dxa"/>
            <w:bottom w:w="0" w:type="dxa"/>
            <w:right w:w="10" w:type="dxa"/>
          </w:tblCellMar>
        </w:tblPrEx>
        <w:trPr>
          <w:trHeight w:val="1501"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14、将失信信息作为公开发行</w:t>
            </w:r>
          </w:p>
        </w:tc>
        <w:tc>
          <w:tcPr>
            <w:tcW w:w="9400" w:type="dxa"/>
            <w:tcBorders>
              <w:top w:val="single" w:color="auto" w:sz="4" w:space="0"/>
              <w:left w:val="single" w:color="auto" w:sz="4" w:space="0"/>
              <w:bottom w:val="single" w:color="auto" w:sz="4" w:space="0"/>
            </w:tcBorders>
            <w:shd w:val="clear" w:color="auto" w:fill="FFFFFF"/>
            <w:vAlign w:val="top"/>
          </w:tcPr>
          <w:p>
            <w:pPr>
              <w:numPr>
                <w:ilvl w:val="0"/>
                <w:numId w:val="8"/>
              </w:numPr>
              <w:bidi w:val="0"/>
              <w:ind w:firstLine="480" w:firstLineChars="200"/>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 xml:space="preserve">《国务院关于建立完善守信联合激励和失信联合惩戒制度加快推进社会诚信建设的指导意见》 </w:t>
            </w:r>
          </w:p>
          <w:p>
            <w:pPr>
              <w:numPr>
                <w:ilvl w:val="0"/>
                <w:numId w:val="0"/>
              </w:numPr>
              <w:bidi w:val="0"/>
              <w:ind w:right="0" w:rightChars="0" w:firstLine="480" w:firstLineChars="200"/>
              <w:rPr>
                <w:rFonts w:hint="eastAsia" w:ascii="宋体" w:hAnsi="宋体" w:eastAsia="宋体" w:cs="宋体"/>
              </w:rPr>
            </w:pPr>
            <w:r>
              <w:rPr>
                <w:rFonts w:hint="eastAsia" w:ascii="宋体" w:hAnsi="宋体" w:eastAsia="宋体" w:cs="宋体"/>
                <w:color w:val="000000"/>
                <w:spacing w:val="0"/>
                <w:w w:val="100"/>
                <w:position w:val="0"/>
                <w:sz w:val="24"/>
                <w:szCs w:val="24"/>
              </w:rPr>
              <w:t>（十）依法依规加强对失信行为的行政性约束和惩戒。对严重失信主体，各地区、各有关部门应将其列为重点监管对象，依法依规釆取行政性约束和惩戒措施。从</w:t>
            </w:r>
            <w:r>
              <w:rPr>
                <w:rFonts w:hint="eastAsia" w:ascii="宋体" w:hAnsi="宋体" w:eastAsia="宋体" w:cs="宋体"/>
                <w:color w:val="000000"/>
                <w:spacing w:val="0"/>
                <w:w w:val="100"/>
                <w:position w:val="0"/>
                <w:sz w:val="24"/>
                <w:szCs w:val="24"/>
                <w:lang w:eastAsia="zh-CN"/>
              </w:rPr>
              <w:t>严</w:t>
            </w:r>
            <w:r>
              <w:rPr>
                <w:rFonts w:hint="eastAsia" w:ascii="宋体" w:hAnsi="宋体" w:eastAsia="宋体" w:cs="宋体"/>
                <w:color w:val="000000"/>
                <w:spacing w:val="0"/>
                <w:w w:val="100"/>
                <w:position w:val="0"/>
                <w:sz w:val="24"/>
                <w:szCs w:val="24"/>
              </w:rPr>
              <w:t>审核行政许可审批项目，从</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国家发展改革委、人民银行、证监会</w:t>
            </w:r>
          </w:p>
        </w:tc>
      </w:tr>
      <w:tr>
        <w:tblPrEx>
          <w:tblCellMar>
            <w:top w:w="0" w:type="dxa"/>
            <w:left w:w="10" w:type="dxa"/>
            <w:bottom w:w="0" w:type="dxa"/>
            <w:right w:w="10" w:type="dxa"/>
          </w:tblCellMar>
        </w:tblPrEx>
        <w:trPr>
          <w:trHeight w:val="8151"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both"/>
              <w:rPr>
                <w:sz w:val="24"/>
                <w:szCs w:val="24"/>
              </w:rPr>
            </w:pPr>
            <w:r>
              <w:rPr>
                <w:color w:val="000000"/>
                <w:spacing w:val="0"/>
                <w:w w:val="100"/>
                <w:position w:val="0"/>
                <w:sz w:val="24"/>
                <w:szCs w:val="24"/>
              </w:rPr>
              <w:t>公司债券核准的重要参考。对失信主体发行企业债券从严审核；在银行间市场发行</w:t>
            </w:r>
            <w:r>
              <w:rPr>
                <w:rFonts w:hint="eastAsia"/>
                <w:color w:val="000000"/>
                <w:spacing w:val="0"/>
                <w:w w:val="100"/>
                <w:position w:val="0"/>
                <w:sz w:val="24"/>
                <w:szCs w:val="24"/>
                <w:lang w:eastAsia="zh-CN"/>
              </w:rPr>
              <w:t>非</w:t>
            </w:r>
            <w:r>
              <w:rPr>
                <w:color w:val="000000"/>
                <w:spacing w:val="0"/>
                <w:w w:val="100"/>
                <w:position w:val="0"/>
                <w:sz w:val="24"/>
                <w:szCs w:val="24"/>
              </w:rPr>
              <w:t>金融企业债务融 资工具限制注册，并按照注册发行有关工作要求，强化信息披露，加强投资者保护机制管理，防范有关风险。</w:t>
            </w:r>
          </w:p>
          <w:p>
            <w:pPr>
              <w:pStyle w:val="12"/>
              <w:keepNext w:val="0"/>
              <w:keepLines w:val="0"/>
              <w:widowControl w:val="0"/>
              <w:shd w:val="clear" w:color="auto" w:fill="auto"/>
              <w:bidi w:val="0"/>
              <w:spacing w:before="0" w:after="0" w:line="240" w:lineRule="auto"/>
              <w:ind w:left="0" w:right="0" w:firstLine="0"/>
              <w:jc w:val="left"/>
              <w:rPr>
                <w:rFonts w:hint="eastAsia" w:ascii="宋体" w:hAnsi="宋体" w:eastAsia="宋体" w:cs="宋体"/>
                <w:color w:val="000000"/>
                <w:spacing w:val="0"/>
                <w:w w:val="100"/>
                <w:position w:val="0"/>
                <w:sz w:val="24"/>
                <w:szCs w:val="24"/>
              </w:rPr>
            </w:pPr>
          </w:p>
        </w:tc>
        <w:tc>
          <w:tcPr>
            <w:tcW w:w="9400" w:type="dxa"/>
            <w:tcBorders>
              <w:top w:val="single" w:color="auto" w:sz="4" w:space="0"/>
              <w:left w:val="single" w:color="auto" w:sz="4" w:space="0"/>
              <w:bottom w:val="single" w:color="auto" w:sz="4" w:space="0"/>
            </w:tcBorders>
            <w:shd w:val="clear" w:color="auto" w:fill="FFFFFF"/>
            <w:vAlign w:val="top"/>
          </w:tcPr>
          <w:p>
            <w:pPr>
              <w:bidi w:val="0"/>
              <w:rPr>
                <w:rFonts w:hint="eastAsia"/>
              </w:rPr>
            </w:pPr>
            <w:r>
              <w:rPr>
                <w:rFonts w:hint="eastAsia"/>
              </w:rPr>
              <w:t>严控制生产许可证发放，限制新增项目审批、核准，限制股票发行上市融资或发行债券，限制在全国股份转让系统挂牌、融资，限制发起设立或参股金融机构以及小额贷款公司、融资担保公司、创业投资公司、互联网融资平台等机构，限制从事互联网信息服务等。</w:t>
            </w:r>
          </w:p>
          <w:p>
            <w:pPr>
              <w:bidi w:val="0"/>
              <w:ind w:firstLine="480" w:firstLineChars="200"/>
              <w:rPr>
                <w:rFonts w:hint="eastAsia"/>
              </w:rPr>
            </w:pPr>
            <w:bookmarkStart w:id="66" w:name="bookmark72"/>
            <w:r>
              <w:rPr>
                <w:rFonts w:hint="eastAsia"/>
              </w:rPr>
              <w:t>2</w:t>
            </w:r>
            <w:bookmarkEnd w:id="66"/>
            <w:r>
              <w:rPr>
                <w:rFonts w:hint="eastAsia"/>
              </w:rPr>
              <w:t>、《中华人民共和国证券法》</w:t>
            </w:r>
          </w:p>
          <w:p>
            <w:pPr>
              <w:bidi w:val="0"/>
              <w:ind w:firstLine="480" w:firstLineChars="200"/>
              <w:rPr>
                <w:rFonts w:hint="eastAsia"/>
              </w:rPr>
            </w:pPr>
            <w:r>
              <w:rPr>
                <w:rFonts w:hint="eastAsia"/>
              </w:rPr>
              <w:t>第十八条</w:t>
            </w:r>
            <w:r>
              <w:rPr>
                <w:rFonts w:hint="eastAsia" w:eastAsia="宋体"/>
                <w:lang w:val="en-US" w:eastAsia="zh-CN"/>
              </w:rPr>
              <w:t xml:space="preserve">  </w:t>
            </w:r>
            <w:r>
              <w:rPr>
                <w:rFonts w:hint="eastAsia"/>
              </w:rPr>
              <w:t>有下列情形之一的，不得再次公开发行公司债券：（二）对已公开发行的公司债券或者其他债务有违约或者延迟支付本息的事实，仍处于继续状态；</w:t>
            </w:r>
          </w:p>
          <w:p>
            <w:pPr>
              <w:bidi w:val="0"/>
              <w:ind w:firstLine="480" w:firstLineChars="200"/>
              <w:rPr>
                <w:rFonts w:hint="eastAsia"/>
              </w:rPr>
            </w:pPr>
            <w:bookmarkStart w:id="67" w:name="bookmark73"/>
            <w:r>
              <w:rPr>
                <w:rFonts w:hint="eastAsia"/>
              </w:rPr>
              <w:t>3</w:t>
            </w:r>
            <w:bookmarkEnd w:id="67"/>
            <w:r>
              <w:rPr>
                <w:rFonts w:hint="eastAsia"/>
              </w:rPr>
              <w:t>、《公司债券发行与交易管理办法》</w:t>
            </w:r>
          </w:p>
          <w:p>
            <w:pPr>
              <w:bidi w:val="0"/>
              <w:ind w:firstLine="480" w:firstLineChars="200"/>
              <w:rPr>
                <w:rFonts w:hint="eastAsia"/>
              </w:rPr>
            </w:pPr>
            <w:r>
              <w:rPr>
                <w:rFonts w:hint="eastAsia"/>
              </w:rPr>
              <w:t>第十七条</w:t>
            </w:r>
            <w:r>
              <w:rPr>
                <w:rFonts w:hint="eastAsia" w:eastAsia="宋体"/>
                <w:lang w:val="en-US" w:eastAsia="zh-CN"/>
              </w:rPr>
              <w:t xml:space="preserve">  </w:t>
            </w:r>
            <w:r>
              <w:rPr>
                <w:rFonts w:hint="eastAsia"/>
              </w:rPr>
              <w:t>存在下列情形之一的，不得公开发行公司债券：（一）最近三十六个月内公司财务会计文件存在虚假记载，或公司存在其他重大违法行为；（三）对已发行的公司债券或者其他债务有违约或者迟延支付本息的事实，仍处于继续状态；（四）严重损害投资者合法权益和社会公共利益的其他情形。</w:t>
            </w:r>
          </w:p>
          <w:p>
            <w:pPr>
              <w:bidi w:val="0"/>
              <w:ind w:firstLine="480" w:firstLineChars="200"/>
              <w:rPr>
                <w:rFonts w:hint="eastAsia"/>
              </w:rPr>
            </w:pPr>
            <w:bookmarkStart w:id="68" w:name="bookmark74"/>
            <w:r>
              <w:rPr>
                <w:rFonts w:hint="eastAsia"/>
              </w:rPr>
              <w:t>4</w:t>
            </w:r>
            <w:bookmarkEnd w:id="68"/>
            <w:r>
              <w:rPr>
                <w:rFonts w:hint="eastAsia"/>
              </w:rPr>
              <w:t xml:space="preserve">、《国家发展改革委办公厅关于进一步改进企业债券发行审核工作的通知》 </w:t>
            </w:r>
          </w:p>
          <w:p>
            <w:pPr>
              <w:bidi w:val="0"/>
              <w:ind w:firstLine="480" w:firstLineChars="200"/>
              <w:rPr>
                <w:rFonts w:hint="eastAsia"/>
              </w:rPr>
            </w:pPr>
            <w:r>
              <w:rPr>
                <w:rFonts w:hint="eastAsia"/>
              </w:rPr>
              <w:t>对于以下两类发债申请，要从严审核，有效防范市场风险。</w:t>
            </w:r>
          </w:p>
          <w:p>
            <w:pPr>
              <w:bidi w:val="0"/>
              <w:ind w:firstLine="480" w:firstLineChars="200"/>
              <w:rPr>
                <w:rFonts w:hint="eastAsia"/>
              </w:rPr>
            </w:pPr>
            <w:bookmarkStart w:id="69" w:name="bookmark75"/>
            <w:r>
              <w:rPr>
                <w:rFonts w:hint="eastAsia"/>
              </w:rPr>
              <w:t>（</w:t>
            </w:r>
            <w:bookmarkEnd w:id="69"/>
            <w:r>
              <w:rPr>
                <w:rFonts w:hint="eastAsia"/>
              </w:rPr>
              <w:t>一）募集资金用于产能过剩、高污染、高耗能等国家产业政策限制领域的发债申请</w:t>
            </w:r>
          </w:p>
          <w:p>
            <w:pPr>
              <w:bidi w:val="0"/>
              <w:ind w:firstLine="480" w:firstLineChars="200"/>
              <w:rPr>
                <w:rFonts w:hint="eastAsia"/>
              </w:rPr>
            </w:pPr>
            <w:bookmarkStart w:id="70" w:name="bookmark76"/>
            <w:r>
              <w:rPr>
                <w:rFonts w:hint="eastAsia"/>
              </w:rPr>
              <w:t>（</w:t>
            </w:r>
            <w:bookmarkEnd w:id="70"/>
            <w:r>
              <w:rPr>
                <w:rFonts w:hint="eastAsia"/>
              </w:rPr>
              <w:t>二）企业信用等级较低，负债率高，债券余额较大或运作不规范、资产不实、偿债措施较弱的发债申请</w:t>
            </w:r>
          </w:p>
          <w:p>
            <w:pPr>
              <w:bidi w:val="0"/>
              <w:ind w:firstLine="480" w:firstLineChars="200"/>
              <w:rPr>
                <w:rFonts w:hint="eastAsia"/>
              </w:rPr>
            </w:pPr>
            <w:r>
              <w:rPr>
                <w:rFonts w:hint="eastAsia"/>
              </w:rPr>
              <w:t>2、企业及所在地地方政府或为其提供承销服务的券商有不尽职或不诚信记录。</w:t>
            </w:r>
          </w:p>
          <w:p>
            <w:pPr>
              <w:bidi w:val="0"/>
              <w:ind w:firstLine="480" w:firstLineChars="200"/>
              <w:rPr>
                <w:rFonts w:hint="eastAsia"/>
              </w:rPr>
            </w:pPr>
            <w:bookmarkStart w:id="71" w:name="bookmark77"/>
            <w:r>
              <w:rPr>
                <w:rFonts w:hint="eastAsia"/>
              </w:rPr>
              <w:t>5</w:t>
            </w:r>
            <w:bookmarkEnd w:id="71"/>
            <w:r>
              <w:rPr>
                <w:rFonts w:hint="eastAsia"/>
              </w:rPr>
              <w:t>、《银行间债券市场非金融企业债务融资工具管理办法》</w:t>
            </w:r>
          </w:p>
          <w:p>
            <w:pPr>
              <w:bidi w:val="0"/>
              <w:ind w:firstLine="480" w:firstLineChars="200"/>
              <w:rPr>
                <w:rFonts w:hint="eastAsia"/>
              </w:rPr>
            </w:pPr>
            <w:r>
              <w:rPr>
                <w:rFonts w:hint="eastAsia"/>
              </w:rPr>
              <w:t>第十三条</w:t>
            </w:r>
            <w:r>
              <w:rPr>
                <w:rFonts w:hint="eastAsia" w:eastAsia="宋体"/>
                <w:lang w:val="en-US" w:eastAsia="zh-CN"/>
              </w:rPr>
              <w:t xml:space="preserve">  </w:t>
            </w:r>
            <w:r>
              <w:rPr>
                <w:rFonts w:hint="eastAsia"/>
              </w:rPr>
              <w:t>交易商协会依据本办法及中国人民银行相关规定对债务融资工具的发行与交易实施 自律管理。交易商协会应根据本办法制定相关自律管理规则，并报中国人民银行备案。</w:t>
            </w:r>
          </w:p>
          <w:p>
            <w:pPr>
              <w:bidi w:val="0"/>
              <w:ind w:firstLine="480" w:firstLineChars="200"/>
              <w:rPr>
                <w:rFonts w:hint="eastAsia"/>
              </w:rPr>
            </w:pPr>
            <w:r>
              <w:rPr>
                <w:rFonts w:hint="eastAsia"/>
              </w:rPr>
              <w:t>第十七条</w:t>
            </w:r>
            <w:r>
              <w:rPr>
                <w:rFonts w:hint="eastAsia" w:eastAsia="宋体"/>
                <w:lang w:val="en-US" w:eastAsia="zh-CN"/>
              </w:rPr>
              <w:t xml:space="preserve">  </w:t>
            </w:r>
            <w:r>
              <w:rPr>
                <w:rFonts w:hint="eastAsia"/>
              </w:rPr>
              <w:t>交易商协会对违反自律管理规则的机构和人员，可采取警告、诫勉谈话、公开谴责等措施进行处理。</w:t>
            </w:r>
          </w:p>
          <w:p>
            <w:pPr>
              <w:bidi w:val="0"/>
              <w:ind w:firstLine="480" w:firstLineChars="200"/>
              <w:rPr>
                <w:rFonts w:hint="eastAsia" w:ascii="宋体" w:hAnsi="宋体" w:eastAsia="宋体" w:cs="宋体"/>
                <w:color w:val="000000"/>
                <w:spacing w:val="0"/>
                <w:w w:val="100"/>
                <w:position w:val="0"/>
                <w:szCs w:val="24"/>
              </w:rPr>
            </w:pPr>
            <w:r>
              <w:rPr>
                <w:rFonts w:hint="eastAsia"/>
              </w:rPr>
              <w:t>第十八条</w:t>
            </w:r>
            <w:r>
              <w:rPr>
                <w:rFonts w:hint="eastAsia" w:eastAsia="宋体"/>
                <w:lang w:val="en-US" w:eastAsia="zh-CN"/>
              </w:rPr>
              <w:t xml:space="preserve">  </w:t>
            </w:r>
            <w:r>
              <w:rPr>
                <w:rFonts w:hint="eastAsia"/>
              </w:rPr>
              <w:t>中国人民银行依法对交易商协会、同业拆借中心和中央结算公司进行监督管理。</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p>
        </w:tc>
      </w:tr>
      <w:tr>
        <w:tblPrEx>
          <w:tblCellMar>
            <w:top w:w="0" w:type="dxa"/>
            <w:left w:w="10" w:type="dxa"/>
            <w:bottom w:w="0" w:type="dxa"/>
            <w:right w:w="10" w:type="dxa"/>
          </w:tblCellMar>
        </w:tblPrEx>
        <w:trPr>
          <w:trHeight w:val="8621"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bidi w:val="0"/>
              <w:rPr>
                <w:rFonts w:hint="eastAsia" w:ascii="宋体" w:hAnsi="宋体" w:eastAsia="宋体" w:cs="宋体"/>
                <w:color w:val="000000"/>
                <w:spacing w:val="0"/>
                <w:w w:val="100"/>
                <w:position w:val="0"/>
                <w:szCs w:val="24"/>
                <w:lang w:eastAsia="zh-CN"/>
              </w:rPr>
            </w:pPr>
            <w:r>
              <w:rPr>
                <w:rFonts w:hint="eastAsia"/>
                <w:lang w:val="zh-CN" w:eastAsia="zh-CN"/>
              </w:rPr>
              <w:t>15、</w:t>
            </w:r>
            <w:r>
              <w:rPr>
                <w:rFonts w:hint="eastAsia"/>
              </w:rPr>
              <w:t>将失信信息作为股票发行审核及在全国中小企业股份转让系统公开转让审核的参考</w:t>
            </w:r>
            <w:r>
              <w:rPr>
                <w:rFonts w:hint="eastAsia" w:eastAsia="宋体"/>
                <w:lang w:eastAsia="zh-CN"/>
              </w:rPr>
              <w:t>。</w:t>
            </w:r>
          </w:p>
        </w:tc>
        <w:tc>
          <w:tcPr>
            <w:tcW w:w="9400" w:type="dxa"/>
            <w:tcBorders>
              <w:top w:val="single" w:color="auto" w:sz="4" w:space="0"/>
              <w:left w:val="single" w:color="auto" w:sz="4" w:space="0"/>
              <w:bottom w:val="single" w:color="auto" w:sz="4" w:space="0"/>
            </w:tcBorders>
            <w:shd w:val="clear" w:color="auto" w:fill="FFFFFF"/>
            <w:vAlign w:val="top"/>
          </w:tcPr>
          <w:p>
            <w:pPr>
              <w:bidi w:val="0"/>
              <w:spacing w:line="240" w:lineRule="auto"/>
              <w:ind w:firstLine="480" w:firstLineChars="200"/>
              <w:rPr>
                <w:rFonts w:hint="eastAsia"/>
              </w:rPr>
            </w:pPr>
            <w:bookmarkStart w:id="72" w:name="bookmark78"/>
            <w:r>
              <w:rPr>
                <w:rFonts w:hint="eastAsia"/>
              </w:rPr>
              <w:t>1</w:t>
            </w:r>
            <w:bookmarkEnd w:id="72"/>
            <w:r>
              <w:rPr>
                <w:rFonts w:hint="eastAsia"/>
              </w:rPr>
              <w:t>、《中华人民共和国证券法》</w:t>
            </w:r>
          </w:p>
          <w:p>
            <w:pPr>
              <w:bidi w:val="0"/>
              <w:spacing w:line="240" w:lineRule="auto"/>
              <w:ind w:firstLine="480" w:firstLineChars="200"/>
              <w:rPr>
                <w:rFonts w:hint="eastAsia"/>
              </w:rPr>
            </w:pPr>
            <w:r>
              <w:rPr>
                <w:rFonts w:hint="eastAsia"/>
              </w:rPr>
              <w:t>第十三条</w:t>
            </w:r>
            <w:r>
              <w:rPr>
                <w:rFonts w:hint="eastAsia" w:eastAsia="宋体"/>
                <w:lang w:val="en-US" w:eastAsia="zh-CN"/>
              </w:rPr>
              <w:t xml:space="preserve">  </w:t>
            </w:r>
            <w:r>
              <w:rPr>
                <w:rFonts w:hint="eastAsia"/>
              </w:rPr>
              <w:t>公司公开发行新股，应当符合下列条件：</w:t>
            </w:r>
          </w:p>
          <w:p>
            <w:pPr>
              <w:bidi w:val="0"/>
              <w:spacing w:line="240" w:lineRule="auto"/>
              <w:ind w:firstLine="480" w:firstLineChars="200"/>
              <w:rPr>
                <w:rFonts w:hint="eastAsia"/>
              </w:rPr>
            </w:pPr>
            <w:r>
              <w:rPr>
                <w:rFonts w:hint="eastAsia"/>
              </w:rPr>
              <w:t>（三）最近三年财务会计文件无虚假记载，无其他重大违法行为；</w:t>
            </w:r>
          </w:p>
          <w:p>
            <w:pPr>
              <w:bidi w:val="0"/>
              <w:spacing w:line="240" w:lineRule="auto"/>
              <w:ind w:firstLine="480" w:firstLineChars="200"/>
              <w:rPr>
                <w:rFonts w:hint="eastAsia"/>
              </w:rPr>
            </w:pPr>
            <w:bookmarkStart w:id="73" w:name="bookmark79"/>
            <w:r>
              <w:rPr>
                <w:rFonts w:hint="eastAsia"/>
              </w:rPr>
              <w:t>2</w:t>
            </w:r>
            <w:bookmarkEnd w:id="73"/>
            <w:r>
              <w:rPr>
                <w:rFonts w:hint="eastAsia"/>
              </w:rPr>
              <w:t>、《首次公开发行股票并上市管理办法》</w:t>
            </w:r>
          </w:p>
          <w:p>
            <w:pPr>
              <w:bidi w:val="0"/>
              <w:spacing w:line="240" w:lineRule="auto"/>
              <w:ind w:firstLine="480" w:firstLineChars="200"/>
              <w:rPr>
                <w:rFonts w:hint="eastAsia"/>
              </w:rPr>
            </w:pPr>
            <w:r>
              <w:rPr>
                <w:rFonts w:hint="eastAsia"/>
              </w:rPr>
              <w:t>第十八条</w:t>
            </w:r>
            <w:r>
              <w:rPr>
                <w:rFonts w:hint="eastAsia" w:eastAsia="宋体"/>
                <w:lang w:val="en-US" w:eastAsia="zh-CN"/>
              </w:rPr>
              <w:t xml:space="preserve">  </w:t>
            </w:r>
            <w:r>
              <w:rPr>
                <w:rFonts w:hint="eastAsia"/>
              </w:rPr>
              <w:t>发行人不得有下列情形：</w:t>
            </w:r>
          </w:p>
          <w:p>
            <w:pPr>
              <w:bidi w:val="0"/>
              <w:spacing w:line="240" w:lineRule="auto"/>
              <w:ind w:firstLine="480" w:firstLineChars="200"/>
              <w:rPr>
                <w:rFonts w:hint="eastAsia"/>
              </w:rPr>
            </w:pPr>
            <w:r>
              <w:rPr>
                <w:rFonts w:hint="eastAsia"/>
              </w:rPr>
              <w:t>（二）最近36个月内违反工商、税收、土地、环保、海关以及其他法律、行政法规，受到行政处罚，且情节严重；（六）严重损害投资者合法权益和社会公共利益的其他情形。</w:t>
            </w:r>
          </w:p>
          <w:p>
            <w:pPr>
              <w:bidi w:val="0"/>
              <w:spacing w:line="240" w:lineRule="auto"/>
              <w:ind w:firstLine="480" w:firstLineChars="200"/>
              <w:rPr>
                <w:rFonts w:hint="eastAsia"/>
              </w:rPr>
            </w:pPr>
            <w:bookmarkStart w:id="74" w:name="bookmark80"/>
            <w:r>
              <w:rPr>
                <w:rFonts w:hint="eastAsia"/>
              </w:rPr>
              <w:t>3</w:t>
            </w:r>
            <w:bookmarkEnd w:id="74"/>
            <w:r>
              <w:rPr>
                <w:rFonts w:hint="eastAsia"/>
              </w:rPr>
              <w:t>、《首次公开发行股票并在创业板上市管理办法》</w:t>
            </w:r>
          </w:p>
          <w:p>
            <w:pPr>
              <w:bidi w:val="0"/>
              <w:spacing w:line="240" w:lineRule="auto"/>
              <w:ind w:firstLine="480" w:firstLineChars="200"/>
              <w:rPr>
                <w:rFonts w:hint="eastAsia"/>
              </w:rPr>
            </w:pPr>
            <w:r>
              <w:rPr>
                <w:rFonts w:hint="eastAsia"/>
              </w:rPr>
              <w:t>第二十条</w:t>
            </w:r>
            <w:r>
              <w:rPr>
                <w:rFonts w:hint="eastAsia" w:eastAsia="宋体"/>
                <w:lang w:val="en-US" w:eastAsia="zh-CN"/>
              </w:rPr>
              <w:t xml:space="preserve">  </w:t>
            </w:r>
            <w:r>
              <w:rPr>
                <w:rFonts w:hint="eastAsia"/>
              </w:rPr>
              <w:t>发行人及其控股股东、实际控制人最近三年内不存在损害投资者合法权益和社会公共利益的重大违法行为。</w:t>
            </w:r>
          </w:p>
          <w:p>
            <w:pPr>
              <w:bidi w:val="0"/>
              <w:spacing w:line="240" w:lineRule="auto"/>
              <w:ind w:firstLine="480" w:firstLineChars="200"/>
              <w:rPr>
                <w:rFonts w:hint="eastAsia"/>
              </w:rPr>
            </w:pPr>
            <w:bookmarkStart w:id="75" w:name="bookmark81"/>
            <w:r>
              <w:rPr>
                <w:rFonts w:hint="eastAsia"/>
              </w:rPr>
              <w:t>4</w:t>
            </w:r>
            <w:bookmarkEnd w:id="75"/>
            <w:r>
              <w:rPr>
                <w:rFonts w:hint="eastAsia"/>
              </w:rPr>
              <w:t>、《上市公司证券发行管理办法》</w:t>
            </w:r>
          </w:p>
          <w:p>
            <w:pPr>
              <w:bidi w:val="0"/>
              <w:spacing w:line="240" w:lineRule="auto"/>
              <w:ind w:firstLine="480" w:firstLineChars="200"/>
              <w:rPr>
                <w:rFonts w:hint="eastAsia"/>
              </w:rPr>
            </w:pPr>
            <w:r>
              <w:rPr>
                <w:rFonts w:hint="eastAsia"/>
              </w:rPr>
              <w:t>第九条</w:t>
            </w:r>
            <w:r>
              <w:rPr>
                <w:rFonts w:hint="eastAsia" w:eastAsia="宋体"/>
                <w:lang w:val="en-US" w:eastAsia="zh-CN"/>
              </w:rPr>
              <w:t xml:space="preserve">  </w:t>
            </w:r>
            <w:r>
              <w:rPr>
                <w:rFonts w:hint="eastAsia"/>
              </w:rPr>
              <w:t>上市公司三十六个月内财务会计文件无虚假记载，且不存在下列重大违法行为</w:t>
            </w:r>
            <w:r>
              <w:rPr>
                <w:rFonts w:hint="eastAsia"/>
                <w:lang w:val="zh-CN" w:eastAsia="zh-CN"/>
              </w:rPr>
              <w:t>：</w:t>
            </w:r>
            <w:r>
              <w:rPr>
                <w:rFonts w:hint="eastAsia"/>
              </w:rPr>
              <w:t>（二）违反工商、税收、土地、环保、海关法律、行政法规或规章，受到行政处罚且情节严重，或者受到刑事处罚；（三）违反国家其他法律、行政法规且情节严重的行为。</w:t>
            </w:r>
          </w:p>
          <w:p>
            <w:pPr>
              <w:bidi w:val="0"/>
              <w:spacing w:line="240" w:lineRule="auto"/>
              <w:ind w:firstLine="480" w:firstLineChars="200"/>
              <w:rPr>
                <w:rFonts w:hint="eastAsia"/>
              </w:rPr>
            </w:pPr>
            <w:bookmarkStart w:id="76" w:name="bookmark82"/>
            <w:r>
              <w:rPr>
                <w:rFonts w:hint="eastAsia"/>
              </w:rPr>
              <w:t>5</w:t>
            </w:r>
            <w:bookmarkEnd w:id="76"/>
            <w:r>
              <w:rPr>
                <w:rFonts w:hint="eastAsia"/>
              </w:rPr>
              <w:t>、《创业板上市公司证券发行管理暂行办法》</w:t>
            </w:r>
          </w:p>
          <w:p>
            <w:pPr>
              <w:bidi w:val="0"/>
              <w:spacing w:line="240" w:lineRule="auto"/>
              <w:ind w:firstLine="480" w:firstLineChars="200"/>
              <w:rPr>
                <w:rFonts w:hint="eastAsia"/>
              </w:rPr>
            </w:pPr>
            <w:r>
              <w:rPr>
                <w:rFonts w:hint="eastAsia"/>
              </w:rPr>
              <w:t>第十条</w:t>
            </w:r>
            <w:r>
              <w:rPr>
                <w:rFonts w:hint="eastAsia" w:eastAsia="宋体"/>
                <w:lang w:val="en-US" w:eastAsia="zh-CN"/>
              </w:rPr>
              <w:t xml:space="preserve">  </w:t>
            </w:r>
            <w:r>
              <w:rPr>
                <w:rFonts w:hint="eastAsia"/>
              </w:rPr>
              <w:t>上市公司存在下列情形之一的，不得发行证券</w:t>
            </w:r>
            <w:r>
              <w:rPr>
                <w:rFonts w:hint="eastAsia"/>
                <w:lang w:val="zh-CN" w:eastAsia="zh-CN"/>
              </w:rPr>
              <w:t>：</w:t>
            </w:r>
            <w:r>
              <w:rPr>
                <w:rFonts w:hint="eastAsia"/>
              </w:rPr>
              <w:t>（三）最近三十六个月内因违反法律、 行政法规、规章受到行政处罚且情节严重，或者受到刑事处罚，或者因违反证券法律、行政法规、规章受到中国证监会的行政处罚；最近十二个月内受到证券交易所的公开谴责</w:t>
            </w:r>
            <w:r>
              <w:rPr>
                <w:rFonts w:hint="eastAsia" w:eastAsia="宋体"/>
                <w:lang w:eastAsia="zh-CN"/>
              </w:rPr>
              <w:t>；</w:t>
            </w:r>
            <w:r>
              <w:rPr>
                <w:rFonts w:hint="eastAsia"/>
              </w:rPr>
              <w:t>因涉嫌犯罪被司法机关立案侦查或者涉嫌违法违规被中国证监会立案调</w:t>
            </w:r>
            <w:r>
              <w:rPr>
                <w:rFonts w:hint="eastAsia"/>
                <w:lang w:val="zh-CN" w:eastAsia="zh-CN"/>
              </w:rPr>
              <w:t>查；</w:t>
            </w:r>
            <w:r>
              <w:rPr>
                <w:rFonts w:hint="eastAsia"/>
              </w:rPr>
              <w:t>（六）严重损害投资者的合法权益和社会公共利益的其他情形。</w:t>
            </w:r>
          </w:p>
          <w:p>
            <w:pPr>
              <w:bidi w:val="0"/>
              <w:spacing w:line="240" w:lineRule="auto"/>
              <w:ind w:firstLine="480" w:firstLineChars="200"/>
              <w:rPr>
                <w:rFonts w:hint="eastAsia"/>
              </w:rPr>
            </w:pPr>
            <w:bookmarkStart w:id="77" w:name="bookmark83"/>
            <w:r>
              <w:rPr>
                <w:rFonts w:hint="eastAsia"/>
              </w:rPr>
              <w:t>6</w:t>
            </w:r>
            <w:bookmarkEnd w:id="77"/>
            <w:r>
              <w:rPr>
                <w:rFonts w:hint="eastAsia"/>
              </w:rPr>
              <w:t>、《非上市公众公司监督管理办法》</w:t>
            </w:r>
          </w:p>
          <w:p>
            <w:pPr>
              <w:bidi w:val="0"/>
              <w:spacing w:line="240" w:lineRule="auto"/>
              <w:ind w:firstLine="480" w:firstLineChars="200"/>
              <w:rPr>
                <w:rFonts w:hint="eastAsia"/>
              </w:rPr>
            </w:pPr>
            <w:r>
              <w:rPr>
                <w:rFonts w:hint="eastAsia"/>
              </w:rPr>
              <w:t>第三条</w:t>
            </w:r>
            <w:r>
              <w:rPr>
                <w:rFonts w:hint="eastAsia" w:eastAsia="宋体"/>
                <w:lang w:val="en-US" w:eastAsia="zh-CN"/>
              </w:rPr>
              <w:t xml:space="preserve">  </w:t>
            </w:r>
            <w:r>
              <w:rPr>
                <w:rFonts w:hint="eastAsia"/>
              </w:rPr>
              <w:t>公众公司应当按照法律、行政法规、本办法和公司章程的规定，做到股权明晰，合法规范经营，公司治理机制健全，履行信息披露义务。</w:t>
            </w:r>
          </w:p>
          <w:p>
            <w:pPr>
              <w:bidi w:val="0"/>
              <w:spacing w:line="240" w:lineRule="auto"/>
              <w:ind w:firstLine="480" w:firstLineChars="200"/>
              <w:rPr>
                <w:rFonts w:hint="eastAsia"/>
              </w:rPr>
            </w:pPr>
            <w:r>
              <w:rPr>
                <w:rFonts w:hint="eastAsia"/>
              </w:rPr>
              <w:t>第六条</w:t>
            </w:r>
            <w:r>
              <w:rPr>
                <w:rFonts w:hint="eastAsia" w:eastAsia="宋体"/>
                <w:lang w:val="en-US" w:eastAsia="zh-CN"/>
              </w:rPr>
              <w:t xml:space="preserve">  </w:t>
            </w:r>
            <w:r>
              <w:rPr>
                <w:rFonts w:hint="eastAsia"/>
              </w:rPr>
              <w:t>为公司出具专项文件的证券公司、律师事务所、会计师事务所及其他证券服务机构，应</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证监会</w:t>
            </w:r>
          </w:p>
        </w:tc>
      </w:tr>
      <w:tr>
        <w:tblPrEx>
          <w:tblCellMar>
            <w:top w:w="0" w:type="dxa"/>
            <w:left w:w="10" w:type="dxa"/>
            <w:bottom w:w="0" w:type="dxa"/>
            <w:right w:w="10" w:type="dxa"/>
          </w:tblCellMar>
        </w:tblPrEx>
        <w:trPr>
          <w:trHeight w:val="1031"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bidi w:val="0"/>
              <w:rPr>
                <w:rFonts w:hint="eastAsia"/>
                <w:lang w:val="zh-CN" w:eastAsia="zh-CN"/>
              </w:rPr>
            </w:pPr>
          </w:p>
        </w:tc>
        <w:tc>
          <w:tcPr>
            <w:tcW w:w="9400" w:type="dxa"/>
            <w:tcBorders>
              <w:top w:val="single" w:color="auto" w:sz="4" w:space="0"/>
              <w:left w:val="single" w:color="auto" w:sz="4" w:space="0"/>
              <w:bottom w:val="single" w:color="auto" w:sz="4" w:space="0"/>
            </w:tcBorders>
            <w:shd w:val="clear" w:color="auto" w:fill="FFFFFF"/>
            <w:vAlign w:val="top"/>
          </w:tcPr>
          <w:p>
            <w:pPr>
              <w:bidi w:val="0"/>
              <w:spacing w:line="240" w:lineRule="auto"/>
              <w:rPr>
                <w:rFonts w:hint="eastAsia"/>
              </w:rPr>
            </w:pPr>
            <w:r>
              <w:rPr>
                <w:rFonts w:hint="eastAsia" w:ascii="宋体" w:hAnsi="宋体" w:eastAsia="宋体" w:cs="宋体"/>
                <w:color w:val="000000"/>
                <w:spacing w:val="0"/>
                <w:w w:val="100"/>
                <w:position w:val="0"/>
                <w:sz w:val="24"/>
                <w:szCs w:val="24"/>
              </w:rPr>
              <w:t>当勤勉尽责、诚实守信，认真履行审慎核查义务，按照依法制定的业务规则、行业执业规范和职业</w:t>
            </w:r>
            <w:r>
              <w:rPr>
                <w:rFonts w:hint="eastAsia" w:ascii="宋体" w:hAnsi="宋体" w:eastAsia="宋体" w:cs="宋体"/>
                <w:color w:val="000000"/>
                <w:spacing w:val="0"/>
                <w:w w:val="100"/>
                <w:position w:val="0"/>
                <w:sz w:val="24"/>
                <w:szCs w:val="24"/>
                <w:u w:val="none"/>
              </w:rPr>
              <w:t xml:space="preserve"> 道德准则发表专业意见，保证所出具文件的真实性、准确性和完整性，并接受中国证监会的监管。</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p>
        </w:tc>
      </w:tr>
      <w:tr>
        <w:tblPrEx>
          <w:tblCellMar>
            <w:top w:w="0" w:type="dxa"/>
            <w:left w:w="10" w:type="dxa"/>
            <w:bottom w:w="0" w:type="dxa"/>
            <w:right w:w="10" w:type="dxa"/>
          </w:tblCellMar>
        </w:tblPrEx>
        <w:trPr>
          <w:trHeight w:val="3161"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both"/>
              <w:rPr>
                <w:sz w:val="24"/>
                <w:szCs w:val="24"/>
              </w:rPr>
            </w:pPr>
            <w:r>
              <w:rPr>
                <w:rFonts w:ascii="Times New Roman" w:hAnsi="Times New Roman" w:eastAsia="Times New Roman" w:cs="Times New Roman"/>
                <w:color w:val="000000"/>
                <w:spacing w:val="0"/>
                <w:w w:val="100"/>
                <w:position w:val="0"/>
                <w:sz w:val="24"/>
                <w:szCs w:val="24"/>
              </w:rPr>
              <w:t>16</w:t>
            </w:r>
            <w:r>
              <w:rPr>
                <w:color w:val="000000"/>
                <w:spacing w:val="0"/>
                <w:w w:val="100"/>
                <w:position w:val="0"/>
                <w:sz w:val="24"/>
                <w:szCs w:val="24"/>
              </w:rPr>
              <w:t>、在上市公司或者非上市公众公司收购的事中事后监管中，对失信主体予以关注。</w:t>
            </w:r>
          </w:p>
          <w:p>
            <w:pPr>
              <w:bidi w:val="0"/>
              <w:rPr>
                <w:rFonts w:hint="eastAsia"/>
                <w:lang w:val="zh-CN" w:eastAsia="zh-CN"/>
              </w:rPr>
            </w:pPr>
          </w:p>
        </w:tc>
        <w:tc>
          <w:tcPr>
            <w:tcW w:w="9400" w:type="dxa"/>
            <w:tcBorders>
              <w:top w:val="single" w:color="auto" w:sz="4" w:space="0"/>
              <w:left w:val="single" w:color="auto" w:sz="4" w:space="0"/>
              <w:bottom w:val="single" w:color="auto" w:sz="4" w:space="0"/>
            </w:tcBorders>
            <w:shd w:val="clear" w:color="auto" w:fill="FFFFFF"/>
            <w:vAlign w:val="top"/>
          </w:tcPr>
          <w:p>
            <w:pPr>
              <w:pStyle w:val="30"/>
              <w:keepNext w:val="0"/>
              <w:keepLines w:val="0"/>
              <w:widowControl w:val="0"/>
              <w:shd w:val="clear" w:color="auto" w:fill="auto"/>
              <w:bidi w:val="0"/>
              <w:spacing w:before="0" w:after="0" w:line="240" w:lineRule="auto"/>
              <w:ind w:left="0" w:right="0" w:firstLine="480" w:firstLineChars="20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1、《上市公司收购管理办法》</w:t>
            </w:r>
          </w:p>
          <w:p>
            <w:pPr>
              <w:pStyle w:val="30"/>
              <w:keepNext w:val="0"/>
              <w:keepLines w:val="0"/>
              <w:widowControl w:val="0"/>
              <w:shd w:val="clear" w:color="auto" w:fill="auto"/>
              <w:bidi w:val="0"/>
              <w:spacing w:before="0" w:after="0" w:line="240" w:lineRule="auto"/>
              <w:ind w:right="0" w:firstLine="480" w:firstLineChars="2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第六条</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任何人不得利用上市公司的收购损害被收购公司及其股东的合法权益。</w:t>
            </w:r>
          </w:p>
          <w:p>
            <w:pPr>
              <w:bidi w:val="0"/>
              <w:spacing w:line="240" w:lineRule="auto"/>
              <w:ind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有下列情形之一的，不得收购上市公司：（二）收购人最近3年有重大违法行为或者涉嫌有重大违法行为</w:t>
            </w:r>
            <w:r>
              <w:rPr>
                <w:rFonts w:hint="eastAsia" w:ascii="宋体" w:hAnsi="宋体" w:eastAsia="宋体" w:cs="宋体"/>
                <w:color w:val="000000"/>
                <w:spacing w:val="0"/>
                <w:w w:val="100"/>
                <w:position w:val="0"/>
                <w:sz w:val="24"/>
                <w:szCs w:val="24"/>
                <w:lang w:eastAsia="zh-CN"/>
              </w:rPr>
              <w:t>；</w:t>
            </w:r>
          </w:p>
          <w:p>
            <w:pPr>
              <w:pStyle w:val="30"/>
              <w:keepNext w:val="0"/>
              <w:keepLines w:val="0"/>
              <w:widowControl w:val="0"/>
              <w:shd w:val="clear" w:color="auto" w:fill="auto"/>
              <w:bidi w:val="0"/>
              <w:spacing w:before="0" w:after="0" w:line="240" w:lineRule="auto"/>
              <w:ind w:right="0" w:firstLine="480" w:firstLineChars="2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2、《非上市公众公司收购管理办法》</w:t>
            </w:r>
          </w:p>
          <w:p>
            <w:pPr>
              <w:pStyle w:val="30"/>
              <w:keepNext w:val="0"/>
              <w:keepLines w:val="0"/>
              <w:widowControl w:val="0"/>
              <w:shd w:val="clear" w:color="auto" w:fill="auto"/>
              <w:bidi w:val="0"/>
              <w:spacing w:before="0" w:after="0" w:line="240" w:lineRule="auto"/>
              <w:ind w:right="0" w:firstLine="480" w:firstLineChars="20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第六条</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进行公众公司收购，收购人及其实际控制人应当具有良好的诚信记录，收购人及其实际控制人为法人的，应当具有健全的公司治理机制。任何人不得利用公众公司收购损害被收购公司及其股东的合法权益。</w:t>
            </w:r>
          </w:p>
          <w:p>
            <w:pPr>
              <w:bidi w:val="0"/>
              <w:spacing w:line="240" w:lineRule="auto"/>
              <w:ind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有下列情形之一的，不得收购公众公司：（二）收购人最近2年有重大违法行为或者涉嫌有重大违法行</w:t>
            </w:r>
            <w:r>
              <w:rPr>
                <w:rFonts w:hint="eastAsia" w:ascii="宋体" w:hAnsi="宋体" w:eastAsia="宋体" w:cs="宋体"/>
                <w:color w:val="000000"/>
                <w:spacing w:val="0"/>
                <w:w w:val="100"/>
                <w:position w:val="0"/>
                <w:sz w:val="24"/>
                <w:szCs w:val="24"/>
                <w:lang w:val="zh-CN" w:eastAsia="zh-CN" w:bidi="zh-CN"/>
              </w:rPr>
              <w:t>为；</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证监会</w:t>
            </w:r>
          </w:p>
        </w:tc>
      </w:tr>
      <w:tr>
        <w:tblPrEx>
          <w:tblCellMar>
            <w:top w:w="0" w:type="dxa"/>
            <w:left w:w="10" w:type="dxa"/>
            <w:bottom w:w="0" w:type="dxa"/>
            <w:right w:w="10" w:type="dxa"/>
          </w:tblCellMar>
        </w:tblPrEx>
        <w:trPr>
          <w:trHeight w:val="2931"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tabs>
                <w:tab w:val="left" w:pos="1040"/>
              </w:tabs>
              <w:bidi w:val="0"/>
              <w:spacing w:before="0" w:after="40" w:line="240" w:lineRule="auto"/>
              <w:ind w:left="0" w:right="0" w:firstLine="0"/>
              <w:jc w:val="both"/>
              <w:rPr>
                <w:rFonts w:hint="eastAsia" w:ascii="宋体" w:hAnsi="宋体" w:eastAsia="宋体" w:cs="宋体"/>
                <w:sz w:val="24"/>
                <w:szCs w:val="24"/>
              </w:rPr>
            </w:pPr>
            <w:bookmarkStart w:id="78" w:name="bookmark36"/>
            <w:r>
              <w:rPr>
                <w:rFonts w:hint="eastAsia" w:ascii="宋体" w:hAnsi="宋体" w:eastAsia="宋体" w:cs="宋体"/>
                <w:color w:val="000000"/>
                <w:spacing w:val="0"/>
                <w:w w:val="100"/>
                <w:position w:val="0"/>
                <w:sz w:val="24"/>
                <w:szCs w:val="24"/>
              </w:rPr>
              <w:t>1</w:t>
            </w:r>
            <w:bookmarkEnd w:id="78"/>
            <w:r>
              <w:rPr>
                <w:rFonts w:hint="eastAsia" w:ascii="宋体" w:hAnsi="宋体" w:eastAsia="宋体" w:cs="宋体"/>
                <w:color w:val="000000"/>
                <w:spacing w:val="0"/>
                <w:w w:val="100"/>
                <w:position w:val="0"/>
                <w:sz w:val="24"/>
                <w:szCs w:val="24"/>
              </w:rPr>
              <w:t>7、在境内上市公司实行股权激励计划或相关人员成为股权激励对象事中事后监管中, 对失信主体予以关注。</w:t>
            </w:r>
          </w:p>
          <w:p>
            <w:pPr>
              <w:bidi w:val="0"/>
              <w:rPr>
                <w:rFonts w:hint="eastAsia"/>
                <w:lang w:val="zh-CN" w:eastAsia="zh-CN"/>
              </w:rPr>
            </w:pPr>
          </w:p>
        </w:tc>
        <w:tc>
          <w:tcPr>
            <w:tcW w:w="9400" w:type="dxa"/>
            <w:tcBorders>
              <w:top w:val="single" w:color="auto" w:sz="4" w:space="0"/>
              <w:left w:val="single" w:color="auto" w:sz="4" w:space="0"/>
              <w:bottom w:val="single" w:color="auto" w:sz="4" w:space="0"/>
            </w:tcBorders>
            <w:shd w:val="clear" w:color="auto" w:fill="FFFFFF"/>
            <w:vAlign w:val="top"/>
          </w:tcPr>
          <w:p>
            <w:pPr>
              <w:pStyle w:val="30"/>
              <w:keepNext w:val="0"/>
              <w:keepLines w:val="0"/>
              <w:widowControl w:val="0"/>
              <w:shd w:val="clear" w:color="auto" w:fill="auto"/>
              <w:bidi w:val="0"/>
              <w:spacing w:before="0" w:after="0" w:line="240" w:lineRule="auto"/>
              <w:ind w:right="0" w:firstLine="480" w:firstLineChars="20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1、《上市公司股权激励管理办法》</w:t>
            </w:r>
          </w:p>
          <w:p>
            <w:pPr>
              <w:pStyle w:val="30"/>
              <w:keepNext w:val="0"/>
              <w:keepLines w:val="0"/>
              <w:widowControl w:val="0"/>
              <w:shd w:val="clear" w:color="auto" w:fill="auto"/>
              <w:bidi w:val="0"/>
              <w:spacing w:before="0" w:after="0" w:line="240" w:lineRule="auto"/>
              <w:ind w:left="0" w:right="0" w:firstLine="480" w:firstLineChars="20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第七条</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上市公司具有下列情形之一的，不得实行股权激励：（四）法律法规规定不得实行股权激励的；（五）中国证监会认定的其他情形。</w:t>
            </w:r>
          </w:p>
          <w:p>
            <w:pPr>
              <w:bidi w:val="0"/>
              <w:spacing w:line="240" w:lineRule="auto"/>
              <w:ind w:firstLine="480" w:firstLineChars="200"/>
              <w:jc w:val="both"/>
              <w:rPr>
                <w:rFonts w:hint="eastAsia"/>
              </w:rPr>
            </w:pPr>
            <w:r>
              <w:rPr>
                <w:rFonts w:hint="eastAsia" w:ascii="宋体" w:hAnsi="宋体" w:eastAsia="宋体" w:cs="宋体"/>
                <w:color w:val="000000"/>
                <w:spacing w:val="0"/>
                <w:w w:val="100"/>
                <w:position w:val="0"/>
                <w:sz w:val="24"/>
                <w:szCs w:val="24"/>
              </w:rPr>
              <w:t>第八条</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lang w:val="zh-CN" w:eastAsia="zh-CN" w:bidi="zh-CN"/>
              </w:rPr>
              <w:t>下列</w:t>
            </w:r>
            <w:r>
              <w:rPr>
                <w:rFonts w:hint="eastAsia" w:ascii="宋体" w:hAnsi="宋体" w:eastAsia="宋体" w:cs="宋体"/>
                <w:color w:val="000000"/>
                <w:spacing w:val="0"/>
                <w:w w:val="100"/>
                <w:position w:val="0"/>
                <w:sz w:val="24"/>
                <w:szCs w:val="24"/>
              </w:rPr>
              <w:t>人员也不得成为激励对象：（三）最近12个月内因重大违法违规行为被中国证监会及其派出机构行政处罚或者采取市场禁入措施；（四）具有《公司法》规定的不得担任公司董事、</w:t>
            </w:r>
            <w:r>
              <w:rPr>
                <w:rFonts w:hint="eastAsia" w:ascii="宋体" w:hAnsi="宋体" w:eastAsia="宋体" w:cs="宋体"/>
                <w:color w:val="000000"/>
                <w:spacing w:val="0"/>
                <w:w w:val="100"/>
                <w:position w:val="0"/>
                <w:sz w:val="24"/>
                <w:szCs w:val="24"/>
                <w:lang w:eastAsia="zh-CN"/>
              </w:rPr>
              <w:t>高</w:t>
            </w:r>
            <w:r>
              <w:rPr>
                <w:rFonts w:hint="eastAsia" w:ascii="宋体" w:hAnsi="宋体" w:eastAsia="宋体" w:cs="宋体"/>
                <w:color w:val="000000"/>
                <w:spacing w:val="0"/>
                <w:w w:val="100"/>
                <w:position w:val="0"/>
                <w:sz w:val="24"/>
                <w:szCs w:val="24"/>
              </w:rPr>
              <w:t>级管理人员情形的；（五）法律法规规定不得参与上市公司股权激励的；（六）中国证监会认定的其他情形。</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证监会</w:t>
            </w:r>
          </w:p>
        </w:tc>
      </w:tr>
      <w:tr>
        <w:tblPrEx>
          <w:tblCellMar>
            <w:top w:w="0" w:type="dxa"/>
            <w:left w:w="10" w:type="dxa"/>
            <w:bottom w:w="0" w:type="dxa"/>
            <w:right w:w="10" w:type="dxa"/>
          </w:tblCellMar>
        </w:tblPrEx>
        <w:trPr>
          <w:trHeight w:val="1411"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bidi w:val="0"/>
              <w:rPr>
                <w:rFonts w:hint="eastAsia"/>
                <w:lang w:val="zh-CN" w:eastAsia="zh-CN"/>
              </w:rPr>
            </w:pPr>
            <w:bookmarkStart w:id="79" w:name="bookmark37"/>
            <w:r>
              <w:rPr>
                <w:rFonts w:hint="eastAsia" w:ascii="宋体" w:hAnsi="宋体" w:eastAsia="宋体" w:cs="宋体"/>
                <w:color w:val="000000"/>
                <w:spacing w:val="0"/>
                <w:w w:val="100"/>
                <w:position w:val="0"/>
                <w:sz w:val="24"/>
                <w:szCs w:val="24"/>
              </w:rPr>
              <w:t>1</w:t>
            </w:r>
            <w:bookmarkEnd w:id="79"/>
            <w:r>
              <w:rPr>
                <w:rFonts w:hint="eastAsia" w:ascii="宋体" w:hAnsi="宋体" w:eastAsia="宋体" w:cs="宋体"/>
                <w:color w:val="000000"/>
                <w:spacing w:val="0"/>
                <w:w w:val="100"/>
                <w:position w:val="0"/>
                <w:sz w:val="24"/>
                <w:szCs w:val="24"/>
              </w:rPr>
              <w:t>8、</w:t>
            </w:r>
            <w:r>
              <w:rPr>
                <w:rFonts w:hint="eastAsia" w:ascii="宋体" w:hAnsi="宋体" w:eastAsia="宋体" w:cs="宋体"/>
                <w:color w:val="000000"/>
                <w:spacing w:val="0"/>
                <w:w w:val="100"/>
                <w:position w:val="0"/>
                <w:sz w:val="24"/>
                <w:szCs w:val="24"/>
              </w:rPr>
              <w:tab/>
            </w:r>
            <w:r>
              <w:rPr>
                <w:rFonts w:hint="eastAsia" w:ascii="宋体" w:hAnsi="宋体" w:eastAsia="宋体" w:cs="宋体"/>
                <w:color w:val="000000"/>
                <w:spacing w:val="0"/>
                <w:w w:val="100"/>
                <w:position w:val="0"/>
                <w:sz w:val="24"/>
                <w:szCs w:val="24"/>
              </w:rPr>
              <w:t>在审批证券公司、基金管理公司、期货公司</w:t>
            </w:r>
          </w:p>
        </w:tc>
        <w:tc>
          <w:tcPr>
            <w:tcW w:w="9400" w:type="dxa"/>
            <w:tcBorders>
              <w:top w:val="single" w:color="auto" w:sz="4" w:space="0"/>
              <w:left w:val="single" w:color="auto" w:sz="4" w:space="0"/>
              <w:bottom w:val="single" w:color="auto" w:sz="4" w:space="0"/>
            </w:tcBorders>
            <w:shd w:val="clear" w:color="auto" w:fill="FFFFFF"/>
            <w:vAlign w:val="top"/>
          </w:tcPr>
          <w:p>
            <w:pPr>
              <w:pStyle w:val="30"/>
              <w:keepNext w:val="0"/>
              <w:keepLines w:val="0"/>
              <w:widowControl w:val="0"/>
              <w:shd w:val="clear" w:color="auto" w:fill="auto"/>
              <w:bidi w:val="0"/>
              <w:spacing w:before="0" w:after="0" w:line="240" w:lineRule="auto"/>
              <w:ind w:right="0" w:firstLine="480" w:firstLineChars="2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1、《中华人民共和国证券法》</w:t>
            </w:r>
          </w:p>
          <w:p>
            <w:pPr>
              <w:bidi w:val="0"/>
              <w:spacing w:line="240" w:lineRule="auto"/>
              <w:ind w:firstLine="480" w:firstLineChars="200"/>
              <w:rPr>
                <w:rFonts w:hint="eastAsia"/>
              </w:rPr>
            </w:pPr>
            <w:r>
              <w:rPr>
                <w:rFonts w:hint="eastAsia" w:ascii="宋体" w:hAnsi="宋体" w:eastAsia="宋体" w:cs="宋体"/>
                <w:color w:val="000000"/>
                <w:spacing w:val="0"/>
                <w:w w:val="100"/>
                <w:position w:val="0"/>
                <w:sz w:val="24"/>
                <w:szCs w:val="24"/>
              </w:rPr>
              <w:t>第一百二十四条</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设立证券公司，应当具备下列条件：（二）主要股东具有持续盈利能力，信誉良好，最近三年无重大违法违规记录，净资产不低于人民币二亿元；（五）有完善的风险管理</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证监会</w:t>
            </w:r>
          </w:p>
        </w:tc>
      </w:tr>
      <w:tr>
        <w:tblPrEx>
          <w:tblCellMar>
            <w:top w:w="0" w:type="dxa"/>
            <w:left w:w="10" w:type="dxa"/>
            <w:bottom w:w="0" w:type="dxa"/>
            <w:right w:w="10" w:type="dxa"/>
          </w:tblCellMar>
        </w:tblPrEx>
        <w:trPr>
          <w:trHeight w:val="8031"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both"/>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的设立、私募基金管理人登记及变更持有5% 以上股权的股东、实际控制人时，将其失信信息作为审批的 参考。</w:t>
            </w:r>
          </w:p>
          <w:p>
            <w:pPr>
              <w:bidi w:val="0"/>
              <w:rPr>
                <w:rFonts w:hint="eastAsia" w:ascii="宋体" w:hAnsi="宋体" w:eastAsia="宋体" w:cs="宋体"/>
                <w:color w:val="000000"/>
                <w:spacing w:val="0"/>
                <w:w w:val="100"/>
                <w:position w:val="0"/>
                <w:sz w:val="24"/>
                <w:szCs w:val="24"/>
              </w:rPr>
            </w:pPr>
          </w:p>
        </w:tc>
        <w:tc>
          <w:tcPr>
            <w:tcW w:w="9400" w:type="dxa"/>
            <w:tcBorders>
              <w:top w:val="single" w:color="auto" w:sz="4" w:space="0"/>
              <w:left w:val="single" w:color="auto" w:sz="4" w:space="0"/>
              <w:bottom w:val="single" w:color="auto" w:sz="4" w:space="0"/>
            </w:tcBorders>
            <w:shd w:val="clear" w:color="auto" w:fill="FFFFFF"/>
            <w:vAlign w:val="top"/>
          </w:tcPr>
          <w:p>
            <w:pPr>
              <w:bidi w:val="0"/>
              <w:rPr>
                <w:rFonts w:hint="eastAsia" w:ascii="宋体" w:hAnsi="宋体" w:eastAsia="宋体" w:cs="宋体"/>
              </w:rPr>
            </w:pPr>
            <w:r>
              <w:rPr>
                <w:rFonts w:hint="eastAsia" w:ascii="宋体" w:hAnsi="宋体" w:eastAsia="宋体" w:cs="宋体"/>
              </w:rPr>
              <w:t>与内部控制制度；</w:t>
            </w:r>
          </w:p>
          <w:p>
            <w:pPr>
              <w:bidi w:val="0"/>
              <w:ind w:firstLine="480" w:firstLineChars="200"/>
              <w:rPr>
                <w:rFonts w:hint="eastAsia" w:ascii="宋体" w:hAnsi="宋体" w:eastAsia="宋体" w:cs="宋体"/>
              </w:rPr>
            </w:pPr>
            <w:bookmarkStart w:id="80" w:name="bookmark84"/>
            <w:r>
              <w:rPr>
                <w:rFonts w:hint="eastAsia" w:ascii="宋体" w:hAnsi="宋体" w:eastAsia="宋体" w:cs="宋体"/>
              </w:rPr>
              <w:t>2</w:t>
            </w:r>
            <w:bookmarkEnd w:id="80"/>
            <w:r>
              <w:rPr>
                <w:rFonts w:hint="eastAsia" w:ascii="宋体" w:hAnsi="宋体" w:eastAsia="宋体" w:cs="宋体"/>
              </w:rPr>
              <w:t>、《证券公司监督管理条例》</w:t>
            </w:r>
          </w:p>
          <w:p>
            <w:pPr>
              <w:bidi w:val="0"/>
              <w:ind w:firstLine="480" w:firstLineChars="200"/>
              <w:rPr>
                <w:rFonts w:hint="eastAsia" w:ascii="宋体" w:hAnsi="宋体" w:eastAsia="宋体" w:cs="宋体"/>
              </w:rPr>
            </w:pPr>
            <w:r>
              <w:rPr>
                <w:rFonts w:hint="eastAsia" w:ascii="宋体" w:hAnsi="宋体" w:eastAsia="宋体" w:cs="宋体"/>
              </w:rPr>
              <w:t>第十条</w:t>
            </w:r>
            <w:r>
              <w:rPr>
                <w:rFonts w:hint="eastAsia" w:ascii="宋体" w:hAnsi="宋体" w:eastAsia="宋体" w:cs="宋体"/>
                <w:lang w:val="en-US" w:eastAsia="zh-CN"/>
              </w:rPr>
              <w:t xml:space="preserve">  </w:t>
            </w:r>
            <w:r>
              <w:rPr>
                <w:rFonts w:hint="eastAsia" w:ascii="宋体" w:hAnsi="宋体" w:eastAsia="宋体" w:cs="宋体"/>
              </w:rPr>
              <w:t>有下列情形之一的单位或者个人，不得成为持有证券公司5%以上股权的股东、实际控制人：（三）不能清偿到期债</w:t>
            </w:r>
            <w:r>
              <w:rPr>
                <w:rFonts w:hint="eastAsia" w:ascii="宋体" w:hAnsi="宋体" w:eastAsia="宋体" w:cs="宋体"/>
                <w:lang w:val="zh-CN" w:eastAsia="zh-CN"/>
              </w:rPr>
              <w:t>务；</w:t>
            </w:r>
          </w:p>
          <w:p>
            <w:pPr>
              <w:bidi w:val="0"/>
              <w:ind w:firstLine="480" w:firstLineChars="200"/>
              <w:rPr>
                <w:rFonts w:hint="eastAsia" w:ascii="宋体" w:hAnsi="宋体" w:eastAsia="宋体" w:cs="宋体"/>
              </w:rPr>
            </w:pPr>
            <w:bookmarkStart w:id="81" w:name="bookmark85"/>
            <w:r>
              <w:rPr>
                <w:rFonts w:hint="eastAsia" w:ascii="宋体" w:hAnsi="宋体" w:eastAsia="宋体" w:cs="宋体"/>
              </w:rPr>
              <w:t>3</w:t>
            </w:r>
            <w:bookmarkEnd w:id="81"/>
            <w:r>
              <w:rPr>
                <w:rFonts w:hint="eastAsia" w:ascii="宋体" w:hAnsi="宋体" w:eastAsia="宋体" w:cs="宋体"/>
              </w:rPr>
              <w:t>、《中华人民共和国证券投资基金法》</w:t>
            </w:r>
          </w:p>
          <w:p>
            <w:pPr>
              <w:bidi w:val="0"/>
              <w:ind w:firstLine="480" w:firstLineChars="200"/>
              <w:rPr>
                <w:rFonts w:hint="eastAsia" w:ascii="宋体" w:hAnsi="宋体" w:eastAsia="宋体" w:cs="宋体"/>
              </w:rPr>
            </w:pPr>
            <w:r>
              <w:rPr>
                <w:rFonts w:hint="eastAsia" w:ascii="宋体" w:hAnsi="宋体" w:eastAsia="宋体" w:cs="宋体"/>
              </w:rPr>
              <w:t>第十三条</w:t>
            </w:r>
            <w:r>
              <w:rPr>
                <w:rFonts w:hint="eastAsia" w:ascii="宋体" w:hAnsi="宋体" w:eastAsia="宋体" w:cs="宋体"/>
                <w:lang w:val="en-US" w:eastAsia="zh-CN"/>
              </w:rPr>
              <w:t xml:space="preserve">  </w:t>
            </w:r>
            <w:r>
              <w:rPr>
                <w:rFonts w:hint="eastAsia" w:ascii="宋体" w:hAnsi="宋体" w:eastAsia="宋体" w:cs="宋体"/>
              </w:rPr>
              <w:t>设立管理公开募集基金的基金管理公司，应当具备下列条件，并经国务院证券监督管理机构批准：（三）主要股东应当具有经营金融业务或者管理金融机构的良好业绩、良好的财务状况和社会信誉，资产规模达到国务院规定的标准，最近三年没有违法记录；（七）有良好的内部治理结构、完善的内部稽核监控制度、风险控制制度；</w:t>
            </w:r>
          </w:p>
          <w:p>
            <w:pPr>
              <w:bidi w:val="0"/>
              <w:ind w:firstLine="480" w:firstLineChars="200"/>
              <w:rPr>
                <w:rFonts w:hint="eastAsia" w:ascii="宋体" w:hAnsi="宋体" w:eastAsia="宋体" w:cs="宋体"/>
              </w:rPr>
            </w:pPr>
            <w:bookmarkStart w:id="82" w:name="bookmark86"/>
            <w:r>
              <w:rPr>
                <w:rFonts w:hint="eastAsia" w:ascii="宋体" w:hAnsi="宋体" w:eastAsia="宋体" w:cs="宋体"/>
              </w:rPr>
              <w:t>4</w:t>
            </w:r>
            <w:bookmarkEnd w:id="82"/>
            <w:r>
              <w:rPr>
                <w:rFonts w:hint="eastAsia" w:ascii="宋体" w:hAnsi="宋体" w:eastAsia="宋体" w:cs="宋体"/>
              </w:rPr>
              <w:t>、《证券投资基金管理公司管理办法》</w:t>
            </w:r>
          </w:p>
          <w:p>
            <w:pPr>
              <w:bidi w:val="0"/>
              <w:ind w:firstLine="480" w:firstLineChars="200"/>
              <w:rPr>
                <w:rFonts w:hint="eastAsia" w:ascii="宋体" w:hAnsi="宋体" w:eastAsia="宋体" w:cs="宋体"/>
              </w:rPr>
            </w:pPr>
            <w:r>
              <w:rPr>
                <w:rFonts w:hint="eastAsia" w:ascii="宋体" w:hAnsi="宋体" w:eastAsia="宋体" w:cs="宋体"/>
              </w:rPr>
              <w:t>第七条</w:t>
            </w:r>
            <w:r>
              <w:rPr>
                <w:rFonts w:hint="eastAsia" w:ascii="宋体" w:hAnsi="宋体" w:eastAsia="宋体" w:cs="宋体"/>
                <w:lang w:val="en-US" w:eastAsia="zh-CN"/>
              </w:rPr>
              <w:t xml:space="preserve">  </w:t>
            </w:r>
            <w:r>
              <w:rPr>
                <w:rFonts w:hint="eastAsia" w:ascii="宋体" w:hAnsi="宋体" w:eastAsia="宋体" w:cs="宋体"/>
              </w:rPr>
              <w:t>申请设立基金管理公司，出资或者持有股份占基金管理公司注册资本的比例（以下简称持股比例）在5%以上的股东，应当具备下列条件：（六）具有良好的社会信誉，近3年在金融监管、税务、工商等行政机关，以及自律管理、商业银行等机构无不良记录。</w:t>
            </w:r>
          </w:p>
          <w:p>
            <w:pPr>
              <w:bidi w:val="0"/>
              <w:ind w:firstLine="480" w:firstLineChars="200"/>
              <w:rPr>
                <w:rFonts w:hint="eastAsia" w:ascii="宋体" w:hAnsi="宋体" w:eastAsia="宋体" w:cs="宋体"/>
              </w:rPr>
            </w:pPr>
            <w:bookmarkStart w:id="83" w:name="bookmark87"/>
            <w:r>
              <w:rPr>
                <w:rFonts w:hint="eastAsia" w:ascii="宋体" w:hAnsi="宋体" w:eastAsia="宋体" w:cs="宋体"/>
              </w:rPr>
              <w:t>5</w:t>
            </w:r>
            <w:bookmarkEnd w:id="83"/>
            <w:r>
              <w:rPr>
                <w:rFonts w:hint="eastAsia" w:ascii="宋体" w:hAnsi="宋体" w:eastAsia="宋体" w:cs="宋体"/>
              </w:rPr>
              <w:t>、《私募投资基金监督管理暂行办法》</w:t>
            </w:r>
          </w:p>
          <w:p>
            <w:pPr>
              <w:bidi w:val="0"/>
              <w:ind w:firstLine="480" w:firstLineChars="200"/>
              <w:rPr>
                <w:rFonts w:hint="eastAsia" w:ascii="宋体" w:hAnsi="宋体" w:eastAsia="宋体" w:cs="宋体"/>
              </w:rPr>
            </w:pPr>
            <w:r>
              <w:rPr>
                <w:rFonts w:hint="eastAsia" w:ascii="宋体" w:hAnsi="宋体" w:eastAsia="宋体" w:cs="宋体"/>
              </w:rPr>
              <w:t>第三条</w:t>
            </w:r>
            <w:r>
              <w:rPr>
                <w:rFonts w:hint="eastAsia" w:ascii="宋体" w:hAnsi="宋体" w:eastAsia="宋体" w:cs="宋体"/>
                <w:lang w:val="en-US" w:eastAsia="zh-CN"/>
              </w:rPr>
              <w:t xml:space="preserve">  </w:t>
            </w:r>
            <w:r>
              <w:rPr>
                <w:rFonts w:hint="eastAsia" w:ascii="宋体" w:hAnsi="宋体" w:eastAsia="宋体" w:cs="宋体"/>
              </w:rPr>
              <w:t>从事私募基金业务，应当遵循自愿、公平、诚实信用原则，维护投资者合法权益，不得损害国家利益和社会公共利益。</w:t>
            </w:r>
          </w:p>
          <w:p>
            <w:pPr>
              <w:bidi w:val="0"/>
              <w:ind w:firstLine="480" w:firstLineChars="200"/>
              <w:rPr>
                <w:rFonts w:hint="eastAsia" w:ascii="宋体" w:hAnsi="宋体" w:eastAsia="宋体" w:cs="宋体"/>
              </w:rPr>
            </w:pPr>
            <w:bookmarkStart w:id="84" w:name="bookmark88"/>
            <w:r>
              <w:rPr>
                <w:rFonts w:hint="eastAsia" w:ascii="宋体" w:hAnsi="宋体" w:eastAsia="宋体" w:cs="宋体"/>
              </w:rPr>
              <w:t>6</w:t>
            </w:r>
            <w:bookmarkEnd w:id="84"/>
            <w:r>
              <w:rPr>
                <w:rFonts w:hint="eastAsia" w:ascii="宋体" w:hAnsi="宋体" w:eastAsia="宋体" w:cs="宋体"/>
              </w:rPr>
              <w:t>、《期货交易管理条例》</w:t>
            </w:r>
          </w:p>
          <w:p>
            <w:pPr>
              <w:bidi w:val="0"/>
              <w:ind w:firstLine="480" w:firstLineChars="200"/>
              <w:rPr>
                <w:rFonts w:hint="eastAsia" w:ascii="宋体" w:hAnsi="宋体" w:eastAsia="宋体" w:cs="宋体"/>
              </w:rPr>
            </w:pPr>
            <w:r>
              <w:rPr>
                <w:rFonts w:hint="eastAsia" w:ascii="宋体" w:hAnsi="宋体" w:eastAsia="宋体" w:cs="宋体"/>
              </w:rPr>
              <w:t>第十六条</w:t>
            </w:r>
            <w:r>
              <w:rPr>
                <w:rFonts w:hint="eastAsia" w:ascii="宋体" w:hAnsi="宋体" w:eastAsia="宋体" w:cs="宋体"/>
                <w:lang w:val="en-US" w:eastAsia="zh-CN"/>
              </w:rPr>
              <w:t xml:space="preserve">  </w:t>
            </w:r>
            <w:r>
              <w:rPr>
                <w:rFonts w:hint="eastAsia" w:ascii="宋体" w:hAnsi="宋体" w:eastAsia="宋体" w:cs="宋体"/>
              </w:rPr>
              <w:t>申请设立期货公司，应当符合《中华人民共和国公司法》的规定，并具备下列条件： （四）主要股东以及实际控制人具有持续盈利能力，信誉良好，最近3年无重大违法违规记</w:t>
            </w:r>
            <w:r>
              <w:rPr>
                <w:rFonts w:hint="eastAsia" w:ascii="宋体" w:hAnsi="宋体" w:eastAsia="宋体" w:cs="宋体"/>
                <w:lang w:val="zh-CN" w:eastAsia="zh-CN"/>
              </w:rPr>
              <w:t>录；</w:t>
            </w:r>
            <w:r>
              <w:rPr>
                <w:rFonts w:hint="eastAsia" w:ascii="宋体" w:hAnsi="宋体" w:eastAsia="宋体" w:cs="宋体"/>
              </w:rPr>
              <w:t>（六）有健全的风险管理和内部控制制度；</w:t>
            </w:r>
          </w:p>
          <w:p>
            <w:pPr>
              <w:bidi w:val="0"/>
              <w:ind w:firstLine="480" w:firstLineChars="200"/>
              <w:rPr>
                <w:rFonts w:hint="eastAsia" w:ascii="宋体" w:hAnsi="宋体" w:eastAsia="宋体" w:cs="宋体"/>
              </w:rPr>
            </w:pPr>
            <w:bookmarkStart w:id="85" w:name="bookmark89"/>
            <w:r>
              <w:rPr>
                <w:rFonts w:hint="eastAsia" w:ascii="宋体" w:hAnsi="宋体" w:eastAsia="宋体" w:cs="宋体"/>
              </w:rPr>
              <w:t>7</w:t>
            </w:r>
            <w:bookmarkEnd w:id="85"/>
            <w:r>
              <w:rPr>
                <w:rFonts w:hint="eastAsia" w:ascii="宋体" w:hAnsi="宋体" w:eastAsia="宋体" w:cs="宋体"/>
              </w:rPr>
              <w:t>、《期货公司监督管理办法》</w:t>
            </w:r>
          </w:p>
          <w:p>
            <w:pPr>
              <w:bidi w:val="0"/>
              <w:spacing w:line="240" w:lineRule="auto"/>
              <w:ind w:firstLine="480" w:firstLineChars="200"/>
              <w:rPr>
                <w:rFonts w:hint="eastAsia" w:ascii="宋体" w:hAnsi="宋体" w:eastAsia="宋体" w:cs="宋体"/>
                <w:color w:val="000000"/>
                <w:spacing w:val="0"/>
                <w:w w:val="100"/>
                <w:position w:val="0"/>
                <w:sz w:val="24"/>
                <w:szCs w:val="24"/>
              </w:rPr>
            </w:pPr>
            <w:r>
              <w:rPr>
                <w:rFonts w:hint="eastAsia" w:ascii="宋体" w:hAnsi="宋体" w:eastAsia="宋体" w:cs="宋体"/>
              </w:rPr>
              <w:t>第八条</w:t>
            </w:r>
            <w:r>
              <w:rPr>
                <w:rFonts w:hint="eastAsia" w:ascii="宋体" w:hAnsi="宋体" w:eastAsia="宋体" w:cs="宋体"/>
                <w:lang w:val="en-US" w:eastAsia="zh-CN"/>
              </w:rPr>
              <w:t xml:space="preserve">  </w:t>
            </w:r>
            <w:r>
              <w:rPr>
                <w:rFonts w:hint="eastAsia" w:ascii="宋体" w:hAnsi="宋体" w:eastAsia="宋体" w:cs="宋体"/>
              </w:rPr>
              <w:t>持有期货公司5%以上股权的个人股东应当符合本办法第七条第（三）项至第（七）项规定的条件，且其个人金融资产不低于人民币3000万元。</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p>
        </w:tc>
      </w:tr>
      <w:tr>
        <w:tblPrEx>
          <w:tblCellMar>
            <w:top w:w="0" w:type="dxa"/>
            <w:left w:w="10" w:type="dxa"/>
            <w:bottom w:w="0" w:type="dxa"/>
            <w:right w:w="10" w:type="dxa"/>
          </w:tblCellMar>
        </w:tblPrEx>
        <w:trPr>
          <w:trHeight w:val="4021"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zh-CN" w:eastAsia="zh-CN" w:bidi="zh-CN"/>
              </w:rPr>
              <w:t>19、</w:t>
            </w:r>
            <w:r>
              <w:rPr>
                <w:rFonts w:hint="eastAsia" w:ascii="宋体" w:hAnsi="宋体" w:eastAsia="宋体" w:cs="宋体"/>
                <w:color w:val="000000"/>
                <w:spacing w:val="0"/>
                <w:w w:val="100"/>
                <w:position w:val="0"/>
                <w:sz w:val="24"/>
                <w:szCs w:val="24"/>
              </w:rPr>
              <w:t>将失信状况作为保险公司核定保险费率的重要参考。</w:t>
            </w:r>
          </w:p>
          <w:p>
            <w:pPr>
              <w:bidi w:val="0"/>
              <w:rPr>
                <w:rFonts w:hint="eastAsia" w:ascii="宋体" w:hAnsi="宋体" w:eastAsia="宋体" w:cs="宋体"/>
                <w:color w:val="000000"/>
                <w:spacing w:val="0"/>
                <w:w w:val="100"/>
                <w:position w:val="0"/>
                <w:sz w:val="24"/>
                <w:szCs w:val="24"/>
              </w:rPr>
            </w:pPr>
          </w:p>
        </w:tc>
        <w:tc>
          <w:tcPr>
            <w:tcW w:w="9400" w:type="dxa"/>
            <w:tcBorders>
              <w:top w:val="single" w:color="auto" w:sz="4" w:space="0"/>
              <w:left w:val="single" w:color="auto" w:sz="4" w:space="0"/>
              <w:bottom w:val="single" w:color="auto" w:sz="4" w:space="0"/>
            </w:tcBorders>
            <w:shd w:val="clear" w:color="auto" w:fill="FFFFFF"/>
            <w:vAlign w:val="top"/>
          </w:tcPr>
          <w:p>
            <w:pPr>
              <w:numPr>
                <w:ilvl w:val="0"/>
                <w:numId w:val="9"/>
              </w:numPr>
              <w:bidi w:val="0"/>
              <w:ind w:firstLine="480" w:firstLineChars="200"/>
              <w:rPr>
                <w:rFonts w:hint="eastAsia"/>
              </w:rPr>
            </w:pPr>
            <w:r>
              <w:rPr>
                <w:rFonts w:hint="eastAsia"/>
              </w:rPr>
              <w:t>《国务院关于建立完善守信联合激励和失信联合惩戒制度加快推进社会诚信建设的指导意见》</w:t>
            </w:r>
          </w:p>
          <w:p>
            <w:pPr>
              <w:numPr>
                <w:ilvl w:val="0"/>
                <w:numId w:val="0"/>
              </w:numPr>
              <w:bidi w:val="0"/>
              <w:ind w:right="0" w:rightChars="0" w:firstLine="480" w:firstLineChars="200"/>
              <w:rPr>
                <w:rFonts w:hint="eastAsia"/>
              </w:rPr>
            </w:pPr>
            <w:r>
              <w:rPr>
                <w:rFonts w:hint="eastAsia"/>
              </w:rPr>
              <w:t>（十一）加强对失信行为的市场性约束和惩戒。</w:t>
            </w:r>
            <w:r>
              <w:rPr>
                <w:rFonts w:hint="eastAsia"/>
                <w:lang w:val="zh-CN" w:eastAsia="zh-CN"/>
              </w:rPr>
              <w:t>引</w:t>
            </w:r>
            <w:r>
              <w:rPr>
                <w:rFonts w:hint="eastAsia"/>
              </w:rPr>
              <w:t>导商业银行、证券期货经营机构、保险公司等金融机构按照风险定价原则，对产重失信主体提高贷款利率和财产保险费率，或者限制向其提供贷款、保荐、承销、保险等服务。</w:t>
            </w:r>
          </w:p>
          <w:p>
            <w:pPr>
              <w:bidi w:val="0"/>
              <w:ind w:firstLine="480" w:firstLineChars="200"/>
              <w:rPr>
                <w:rFonts w:hint="eastAsia"/>
              </w:rPr>
            </w:pPr>
            <w:bookmarkStart w:id="86" w:name="bookmark91"/>
            <w:r>
              <w:rPr>
                <w:rFonts w:hint="eastAsia"/>
              </w:rPr>
              <w:t>2</w:t>
            </w:r>
            <w:bookmarkEnd w:id="86"/>
            <w:r>
              <w:rPr>
                <w:rFonts w:hint="eastAsia"/>
              </w:rPr>
              <w:t>、《中国保监会关于深化商业车险条款费率管理制度改革的意见》</w:t>
            </w:r>
          </w:p>
          <w:p>
            <w:pPr>
              <w:bidi w:val="0"/>
              <w:ind w:firstLine="480" w:firstLineChars="200"/>
              <w:rPr>
                <w:rFonts w:hint="eastAsia"/>
              </w:rPr>
            </w:pPr>
            <w:r>
              <w:rPr>
                <w:rFonts w:hint="eastAsia"/>
              </w:rPr>
              <w:t>三、建立健全商业车险费率形成机制</w:t>
            </w:r>
          </w:p>
          <w:p>
            <w:pPr>
              <w:bidi w:val="0"/>
              <w:ind w:firstLine="480" w:firstLineChars="200"/>
              <w:rPr>
                <w:rFonts w:hint="eastAsia"/>
              </w:rPr>
            </w:pPr>
            <w:r>
              <w:rPr>
                <w:rFonts w:hint="eastAsia"/>
              </w:rPr>
              <w:t>（二）逐步扩大财产保险公司费率厘定自主权。赋予财产保险公司一定的商业车险费率厘定自主权，由市场主体根据自身实际情况科学测算基准附加保费，合理确定自主费率调整系敎及其调整标准。</w:t>
            </w:r>
          </w:p>
          <w:p>
            <w:pPr>
              <w:bidi w:val="0"/>
              <w:spacing w:line="240" w:lineRule="auto"/>
              <w:ind w:firstLine="480" w:firstLineChars="200"/>
              <w:rPr>
                <w:rFonts w:hint="eastAsia" w:ascii="宋体" w:hAnsi="宋体" w:eastAsia="宋体" w:cs="宋体"/>
              </w:rPr>
            </w:pPr>
            <w:r>
              <w:rPr>
                <w:rFonts w:hint="eastAsia"/>
              </w:rPr>
              <w:t>根据保险市场发展情况和保险市场成熟程度，逐步扩大财产保险公司商业车险费率厘定自主权</w:t>
            </w:r>
            <w:r>
              <w:rPr>
                <w:rFonts w:hint="eastAsia" w:eastAsia="宋体"/>
                <w:lang w:eastAsia="zh-CN"/>
              </w:rPr>
              <w:t>，</w:t>
            </w:r>
            <w:r>
              <w:rPr>
                <w:rFonts w:hint="eastAsia"/>
              </w:rPr>
              <w:t>最终形成高</w:t>
            </w:r>
            <w:r>
              <w:rPr>
                <w:rFonts w:hint="eastAsia" w:eastAsia="宋体"/>
                <w:lang w:eastAsia="zh-CN"/>
              </w:rPr>
              <w:t>度</w:t>
            </w:r>
            <w:r>
              <w:rPr>
                <w:rFonts w:hint="eastAsia"/>
              </w:rPr>
              <w:t>市场化的商业车险费率形成机制。</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r>
              <w:rPr>
                <w:rFonts w:hint="eastAsia" w:cs="宋体"/>
                <w:color w:val="000000"/>
                <w:spacing w:val="0"/>
                <w:w w:val="100"/>
                <w:position w:val="0"/>
                <w:sz w:val="24"/>
                <w:szCs w:val="24"/>
                <w:lang w:eastAsia="zh-CN"/>
              </w:rPr>
              <w:t>保监会</w:t>
            </w:r>
          </w:p>
        </w:tc>
      </w:tr>
      <w:tr>
        <w:tblPrEx>
          <w:tblCellMar>
            <w:top w:w="0" w:type="dxa"/>
            <w:left w:w="10" w:type="dxa"/>
            <w:bottom w:w="0" w:type="dxa"/>
            <w:right w:w="10" w:type="dxa"/>
          </w:tblCellMar>
        </w:tblPrEx>
        <w:trPr>
          <w:trHeight w:val="5011"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20、对失信主体担任国有企业法定代表人、董事、监事依法予以限制。</w:t>
            </w:r>
          </w:p>
          <w:p>
            <w:pPr>
              <w:bidi w:val="0"/>
              <w:rPr>
                <w:rFonts w:hint="eastAsia" w:ascii="宋体" w:hAnsi="宋体" w:eastAsia="宋体" w:cs="宋体"/>
                <w:color w:val="000000"/>
                <w:spacing w:val="0"/>
                <w:w w:val="100"/>
                <w:position w:val="0"/>
                <w:sz w:val="24"/>
                <w:szCs w:val="24"/>
              </w:rPr>
            </w:pPr>
          </w:p>
        </w:tc>
        <w:tc>
          <w:tcPr>
            <w:tcW w:w="9400" w:type="dxa"/>
            <w:tcBorders>
              <w:top w:val="single" w:color="auto" w:sz="4" w:space="0"/>
              <w:left w:val="single" w:color="auto" w:sz="4" w:space="0"/>
              <w:bottom w:val="single" w:color="auto" w:sz="4" w:space="0"/>
            </w:tcBorders>
            <w:shd w:val="clear" w:color="auto" w:fill="FFFFFF"/>
            <w:vAlign w:val="top"/>
          </w:tcPr>
          <w:p>
            <w:pPr>
              <w:bidi w:val="0"/>
              <w:ind w:firstLine="480" w:firstLineChars="200"/>
              <w:rPr>
                <w:rFonts w:hint="eastAsia" w:ascii="宋体" w:hAnsi="宋体" w:eastAsia="宋体" w:cs="宋体"/>
                <w:color w:val="auto"/>
              </w:rPr>
            </w:pPr>
            <w:bookmarkStart w:id="87" w:name="bookmark92"/>
            <w:r>
              <w:rPr>
                <w:rFonts w:hint="eastAsia" w:ascii="宋体" w:hAnsi="宋体" w:eastAsia="宋体" w:cs="宋体"/>
                <w:color w:val="auto"/>
              </w:rPr>
              <w:t>1</w:t>
            </w:r>
            <w:bookmarkEnd w:id="87"/>
            <w:r>
              <w:rPr>
                <w:rFonts w:hint="eastAsia" w:ascii="宋体" w:hAnsi="宋体" w:eastAsia="宋体" w:cs="宋体"/>
                <w:color w:val="auto"/>
              </w:rPr>
              <w:t>、《中华人民共和国公司法》</w:t>
            </w:r>
          </w:p>
          <w:p>
            <w:pPr>
              <w:bidi w:val="0"/>
              <w:ind w:firstLine="480" w:firstLineChars="200"/>
              <w:rPr>
                <w:rFonts w:hint="eastAsia" w:ascii="宋体" w:hAnsi="宋体" w:eastAsia="宋体" w:cs="宋体"/>
                <w:color w:val="auto"/>
              </w:rPr>
            </w:pPr>
            <w:r>
              <w:rPr>
                <w:rFonts w:hint="eastAsia" w:ascii="宋体" w:hAnsi="宋体" w:eastAsia="宋体" w:cs="宋体"/>
                <w:color w:val="auto"/>
              </w:rPr>
              <w:t xml:space="preserve">第一百四十六条 </w:t>
            </w:r>
            <w:r>
              <w:rPr>
                <w:rFonts w:hint="eastAsia" w:ascii="宋体" w:hAnsi="宋体" w:eastAsia="宋体" w:cs="宋体"/>
                <w:color w:val="auto"/>
                <w:lang w:val="en-US" w:eastAsia="zh-CN"/>
              </w:rPr>
              <w:t xml:space="preserve"> </w:t>
            </w:r>
            <w:r>
              <w:rPr>
                <w:rFonts w:hint="eastAsia" w:ascii="宋体" w:hAnsi="宋体" w:eastAsia="宋体" w:cs="宋体"/>
                <w:color w:val="auto"/>
              </w:rPr>
              <w:t>有下列情形之一的，不得担任公司的董事、监事、高级管理人员（一）无民事行为能力或者限制民事行为能力；（二）因贪污、贿赂、侵占财产、挪用财产或者破坏社会主义市场经济秩序，被判处刑罚，执行期满未逾五年，或者因犯罪被剥夺政治权利，执行期满未逾五年；（三）担任破产清算的公司、企业的董事或者厂长、经理，对该公司、企业的破产负有个人责任的，自该公司、企业破产清算完结之日起未逾三年；（四）担任因违法被吊销营业执照、责令关闭的公司、企业的法定代表人，并负有个人责任的，自该公司、企业被吊销营业执照之日起未逾三年；（五）个人所负数额较大的债务到期未清偿。</w:t>
            </w:r>
          </w:p>
          <w:p>
            <w:pPr>
              <w:bidi w:val="0"/>
              <w:ind w:firstLine="480" w:firstLineChars="200"/>
              <w:rPr>
                <w:rFonts w:hint="eastAsia" w:ascii="宋体" w:hAnsi="宋体" w:eastAsia="宋体" w:cs="宋体"/>
                <w:color w:val="auto"/>
              </w:rPr>
            </w:pPr>
            <w:r>
              <w:rPr>
                <w:rFonts w:hint="eastAsia" w:ascii="宋体" w:hAnsi="宋体" w:eastAsia="宋体" w:cs="宋体"/>
                <w:color w:val="auto"/>
              </w:rPr>
              <w:t>公司违反前款规定选举、委派董事、监事或者聘任高级管理人员的，该选举、委派或者聘任无效。</w:t>
            </w:r>
          </w:p>
          <w:p>
            <w:pPr>
              <w:bidi w:val="0"/>
              <w:ind w:firstLine="480" w:firstLineChars="200"/>
              <w:rPr>
                <w:rFonts w:hint="eastAsia" w:ascii="宋体" w:hAnsi="宋体" w:eastAsia="宋体" w:cs="宋体"/>
                <w:color w:val="auto"/>
              </w:rPr>
            </w:pPr>
            <w:r>
              <w:rPr>
                <w:rFonts w:hint="eastAsia" w:ascii="宋体" w:hAnsi="宋体" w:eastAsia="宋体" w:cs="宋体"/>
                <w:color w:val="auto"/>
              </w:rPr>
              <w:t>董事、监事、髙级管理人员在任职期间出现本条第一款所列情形的，公司应当解除其职务。</w:t>
            </w:r>
          </w:p>
          <w:p>
            <w:pPr>
              <w:bidi w:val="0"/>
              <w:ind w:firstLine="480" w:firstLineChars="200"/>
              <w:rPr>
                <w:rFonts w:hint="eastAsia" w:ascii="宋体" w:hAnsi="宋体" w:eastAsia="宋体" w:cs="宋体"/>
                <w:color w:val="auto"/>
              </w:rPr>
            </w:pPr>
            <w:bookmarkStart w:id="88" w:name="bookmark93"/>
            <w:r>
              <w:rPr>
                <w:rFonts w:hint="eastAsia" w:ascii="宋体" w:hAnsi="宋体" w:eastAsia="宋体" w:cs="宋体"/>
                <w:color w:val="auto"/>
              </w:rPr>
              <w:t>2</w:t>
            </w:r>
            <w:bookmarkEnd w:id="88"/>
            <w:r>
              <w:rPr>
                <w:rFonts w:hint="eastAsia" w:ascii="宋体" w:hAnsi="宋体" w:eastAsia="宋体" w:cs="宋体"/>
                <w:color w:val="auto"/>
              </w:rPr>
              <w:t>、《中华人民共和国企业国有资产法》</w:t>
            </w:r>
          </w:p>
          <w:p>
            <w:pPr>
              <w:bidi w:val="0"/>
              <w:spacing w:line="240" w:lineRule="auto"/>
              <w:ind w:firstLine="480" w:firstLineChars="200"/>
              <w:rPr>
                <w:rFonts w:hint="eastAsia" w:ascii="宋体" w:hAnsi="宋体" w:eastAsia="宋体" w:cs="宋体"/>
              </w:rPr>
            </w:pPr>
            <w:r>
              <w:rPr>
                <w:rFonts w:hint="eastAsia" w:ascii="宋体" w:hAnsi="宋体" w:eastAsia="宋体" w:cs="宋体"/>
                <w:color w:val="auto"/>
              </w:rPr>
              <w:t>第二十三条</w:t>
            </w:r>
            <w:r>
              <w:rPr>
                <w:rFonts w:hint="eastAsia" w:ascii="宋体" w:hAnsi="宋体" w:eastAsia="宋体" w:cs="宋体"/>
                <w:color w:val="auto"/>
                <w:lang w:val="en-US" w:eastAsia="zh-CN"/>
              </w:rPr>
              <w:t xml:space="preserve">  </w:t>
            </w:r>
            <w:r>
              <w:rPr>
                <w:rFonts w:hint="eastAsia" w:ascii="宋体" w:hAnsi="宋体" w:eastAsia="宋体" w:cs="宋体"/>
                <w:color w:val="auto"/>
              </w:rPr>
              <w:t>履行出资人职责的机构任命或者建议任命的董事、监事、高级管理人员，应当具备</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s="宋体"/>
                <w:color w:val="000000"/>
                <w:spacing w:val="0"/>
                <w:w w:val="100"/>
                <w:position w:val="0"/>
                <w:sz w:val="24"/>
                <w:szCs w:val="24"/>
                <w:lang w:eastAsia="zh-CN"/>
              </w:rPr>
            </w:pPr>
            <w:r>
              <w:rPr>
                <w:color w:val="000000"/>
                <w:spacing w:val="0"/>
                <w:w w:val="100"/>
                <w:position w:val="0"/>
                <w:sz w:val="24"/>
                <w:szCs w:val="24"/>
              </w:rPr>
              <w:t>国务院国资委、财政部、工商总局、 银监会、证监会、保监会、国家发展改革委等相关部门</w:t>
            </w:r>
          </w:p>
        </w:tc>
      </w:tr>
      <w:tr>
        <w:tblPrEx>
          <w:tblCellMar>
            <w:top w:w="0" w:type="dxa"/>
            <w:left w:w="10" w:type="dxa"/>
            <w:bottom w:w="0" w:type="dxa"/>
            <w:right w:w="10" w:type="dxa"/>
          </w:tblCellMar>
        </w:tblPrEx>
        <w:trPr>
          <w:trHeight w:val="1751"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bidi w:val="0"/>
              <w:rPr>
                <w:rFonts w:hint="eastAsia" w:ascii="宋体" w:hAnsi="宋体" w:eastAsia="宋体" w:cs="宋体"/>
                <w:color w:val="000000"/>
                <w:spacing w:val="0"/>
                <w:w w:val="100"/>
                <w:position w:val="0"/>
                <w:sz w:val="24"/>
                <w:szCs w:val="24"/>
              </w:rPr>
            </w:pPr>
          </w:p>
        </w:tc>
        <w:tc>
          <w:tcPr>
            <w:tcW w:w="9400" w:type="dxa"/>
            <w:tcBorders>
              <w:top w:val="single" w:color="auto" w:sz="4" w:space="0"/>
              <w:left w:val="single" w:color="auto" w:sz="4" w:space="0"/>
              <w:bottom w:val="single" w:color="auto" w:sz="4" w:space="0"/>
            </w:tcBorders>
            <w:shd w:val="clear" w:color="auto" w:fill="FFFFFF"/>
            <w:vAlign w:val="top"/>
          </w:tcPr>
          <w:p>
            <w:pPr>
              <w:bidi w:val="0"/>
              <w:spacing w:line="240" w:lineRule="auto"/>
              <w:rPr>
                <w:rFonts w:hint="eastAsia" w:ascii="宋体" w:hAnsi="宋体" w:eastAsia="宋体" w:cs="宋体"/>
                <w:color w:val="000000"/>
                <w:spacing w:val="0"/>
                <w:w w:val="100"/>
                <w:position w:val="0"/>
                <w:szCs w:val="24"/>
                <w:lang w:eastAsia="zh-CN"/>
              </w:rPr>
            </w:pPr>
            <w:r>
              <w:rPr>
                <w:rFonts w:hint="eastAsia" w:ascii="宋体" w:hAnsi="宋体" w:eastAsia="宋体" w:cs="宋体"/>
                <w:color w:val="000000"/>
                <w:spacing w:val="0"/>
                <w:w w:val="100"/>
                <w:position w:val="0"/>
                <w:szCs w:val="24"/>
              </w:rPr>
              <w:t>下列条件：（1）有良好的品行；（2）有符合职位要求的专业知识和工作能力；（3）有能够正常履行职责的身体条件；（4）法律、行政法规规定的其他条件</w:t>
            </w:r>
            <w:r>
              <w:rPr>
                <w:rFonts w:hint="eastAsia" w:ascii="宋体" w:hAnsi="宋体" w:eastAsia="宋体" w:cs="宋体"/>
                <w:color w:val="000000"/>
                <w:spacing w:val="0"/>
                <w:w w:val="100"/>
                <w:position w:val="0"/>
                <w:szCs w:val="24"/>
                <w:lang w:eastAsia="zh-CN"/>
              </w:rPr>
              <w:t>。</w:t>
            </w:r>
          </w:p>
          <w:p>
            <w:pPr>
              <w:bidi w:val="0"/>
              <w:spacing w:line="240" w:lineRule="auto"/>
              <w:ind w:firstLine="480" w:firstLineChars="200"/>
              <w:rPr>
                <w:rFonts w:hint="eastAsia" w:ascii="宋体" w:hAnsi="宋体" w:eastAsia="宋体" w:cs="宋体"/>
                <w:color w:val="000000"/>
                <w:spacing w:val="0"/>
                <w:w w:val="100"/>
                <w:position w:val="0"/>
                <w:szCs w:val="24"/>
                <w:lang w:eastAsia="zh-CN"/>
              </w:rPr>
            </w:pPr>
            <w:r>
              <w:rPr>
                <w:rFonts w:hint="eastAsia" w:ascii="宋体" w:hAnsi="宋体" w:eastAsia="宋体" w:cs="宋体"/>
                <w:color w:val="000000"/>
                <w:spacing w:val="0"/>
                <w:w w:val="100"/>
                <w:position w:val="0"/>
                <w:sz w:val="24"/>
                <w:szCs w:val="24"/>
              </w:rPr>
              <w:t>董事、监事、高级管理人员在任职期间出现不符合前款规定情形或者出现《中华人民共和国公司法》规定的不得担任公司董事、监事、高级管理人员情形的，履行出资人职责的机构应当依法予</w:t>
            </w:r>
            <w:r>
              <w:rPr>
                <w:rFonts w:hint="eastAsia" w:ascii="宋体" w:hAnsi="宋体" w:eastAsia="宋体" w:cs="宋体"/>
                <w:color w:val="000000"/>
                <w:spacing w:val="0"/>
                <w:w w:val="100"/>
                <w:position w:val="0"/>
                <w:sz w:val="24"/>
                <w:szCs w:val="24"/>
                <w:u w:val="none"/>
              </w:rPr>
              <w:t>以免职或者提出免职建议</w:t>
            </w:r>
            <w:r>
              <w:rPr>
                <w:rFonts w:hint="eastAsia" w:ascii="宋体" w:hAnsi="宋体" w:eastAsia="宋体" w:cs="宋体"/>
                <w:color w:val="000000"/>
                <w:spacing w:val="0"/>
                <w:w w:val="100"/>
                <w:position w:val="0"/>
                <w:sz w:val="24"/>
                <w:szCs w:val="24"/>
                <w:u w:val="none"/>
                <w:lang w:eastAsia="zh-CN"/>
              </w:rPr>
              <w:t>。</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color w:val="000000"/>
                <w:spacing w:val="0"/>
                <w:w w:val="100"/>
                <w:position w:val="0"/>
                <w:sz w:val="24"/>
                <w:szCs w:val="24"/>
              </w:rPr>
            </w:pPr>
          </w:p>
        </w:tc>
      </w:tr>
      <w:tr>
        <w:tblPrEx>
          <w:tblCellMar>
            <w:top w:w="0" w:type="dxa"/>
            <w:left w:w="10" w:type="dxa"/>
            <w:bottom w:w="0" w:type="dxa"/>
            <w:right w:w="10" w:type="dxa"/>
          </w:tblCellMar>
        </w:tblPrEx>
        <w:trPr>
          <w:trHeight w:val="3491"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21、对失信主体登记为事业单位法定代表人依法予以限制。</w:t>
            </w:r>
          </w:p>
          <w:p>
            <w:pPr>
              <w:bidi w:val="0"/>
              <w:rPr>
                <w:rFonts w:hint="eastAsia" w:ascii="宋体" w:hAnsi="宋体" w:eastAsia="宋体" w:cs="宋体"/>
                <w:color w:val="000000"/>
                <w:spacing w:val="0"/>
                <w:w w:val="100"/>
                <w:position w:val="0"/>
                <w:sz w:val="24"/>
                <w:szCs w:val="24"/>
              </w:rPr>
            </w:pPr>
          </w:p>
        </w:tc>
        <w:tc>
          <w:tcPr>
            <w:tcW w:w="9400" w:type="dxa"/>
            <w:tcBorders>
              <w:top w:val="single" w:color="auto" w:sz="4" w:space="0"/>
              <w:left w:val="single" w:color="auto" w:sz="4" w:space="0"/>
              <w:bottom w:val="single" w:color="auto" w:sz="4" w:space="0"/>
            </w:tcBorders>
            <w:shd w:val="clear" w:color="auto" w:fill="FFFFFF"/>
            <w:vAlign w:val="top"/>
          </w:tcPr>
          <w:p>
            <w:pPr>
              <w:numPr>
                <w:ilvl w:val="0"/>
                <w:numId w:val="10"/>
              </w:numPr>
              <w:bidi w:val="0"/>
              <w:spacing w:line="240" w:lineRule="auto"/>
              <w:ind w:firstLine="480" w:firstLineChars="200"/>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《中央编办关于批转</w:t>
            </w:r>
            <w:r>
              <w:rPr>
                <w:rFonts w:hint="eastAsia" w:ascii="宋体" w:hAnsi="宋体" w:eastAsia="宋体" w:cs="宋体"/>
                <w:color w:val="000000"/>
                <w:spacing w:val="0"/>
                <w:w w:val="100"/>
                <w:position w:val="0"/>
                <w:sz w:val="24"/>
                <w:szCs w:val="24"/>
                <w:lang w:val="zh-CN" w:eastAsia="zh-CN" w:bidi="zh-CN"/>
              </w:rPr>
              <w:t>〈事业</w:t>
            </w:r>
            <w:r>
              <w:rPr>
                <w:rFonts w:hint="eastAsia" w:ascii="宋体" w:hAnsi="宋体" w:eastAsia="宋体" w:cs="宋体"/>
                <w:color w:val="000000"/>
                <w:spacing w:val="0"/>
                <w:w w:val="100"/>
                <w:position w:val="0"/>
                <w:sz w:val="24"/>
                <w:szCs w:val="24"/>
              </w:rPr>
              <w:t>单位、社会团体及企业等组织利用国有资产举办事业单位设立登记办法（试</w:t>
            </w:r>
            <w:r>
              <w:rPr>
                <w:rFonts w:hint="eastAsia" w:ascii="宋体" w:hAnsi="宋体" w:eastAsia="宋体" w:cs="宋体"/>
                <w:color w:val="000000"/>
                <w:spacing w:val="0"/>
                <w:w w:val="100"/>
                <w:position w:val="0"/>
                <w:sz w:val="24"/>
                <w:szCs w:val="24"/>
                <w:lang w:val="zh-CN" w:eastAsia="zh-CN" w:bidi="zh-CN"/>
              </w:rPr>
              <w:t>行）〉</w:t>
            </w:r>
            <w:r>
              <w:rPr>
                <w:rFonts w:hint="eastAsia" w:ascii="宋体" w:hAnsi="宋体" w:eastAsia="宋体" w:cs="宋体"/>
                <w:color w:val="000000"/>
                <w:spacing w:val="0"/>
                <w:w w:val="100"/>
                <w:position w:val="0"/>
                <w:sz w:val="24"/>
                <w:szCs w:val="24"/>
              </w:rPr>
              <w:t>的通知</w:t>
            </w:r>
            <w:r>
              <w:rPr>
                <w:rFonts w:hint="eastAsia" w:ascii="宋体" w:hAnsi="宋体" w:eastAsia="宋体" w:cs="宋体"/>
                <w:color w:val="000000"/>
                <w:spacing w:val="0"/>
                <w:w w:val="100"/>
                <w:position w:val="0"/>
                <w:sz w:val="24"/>
                <w:szCs w:val="24"/>
                <w:lang w:eastAsia="zh-CN"/>
              </w:rPr>
              <w:t>》</w:t>
            </w:r>
          </w:p>
          <w:p>
            <w:pPr>
              <w:numPr>
                <w:ilvl w:val="0"/>
                <w:numId w:val="11"/>
              </w:numPr>
              <w:bidi w:val="0"/>
              <w:spacing w:line="240" w:lineRule="auto"/>
              <w:ind w:right="0" w:rightChars="0"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登记事项要求：（四）法定代表人。应当是具有完全民事行为能力的中国公民，且为该单位主要行政负责人，年龄一般不超过70周岁，无不良信用记录。担任过其他机构法定代表人的，在任职期间，该机构无不良信用记录</w:t>
            </w:r>
            <w:r>
              <w:rPr>
                <w:rFonts w:hint="eastAsia" w:ascii="宋体" w:hAnsi="宋体" w:eastAsia="宋体" w:cs="宋体"/>
                <w:color w:val="000000"/>
                <w:spacing w:val="0"/>
                <w:w w:val="100"/>
                <w:position w:val="0"/>
                <w:sz w:val="24"/>
                <w:szCs w:val="24"/>
                <w:lang w:eastAsia="zh-CN"/>
              </w:rPr>
              <w:t>。</w:t>
            </w:r>
          </w:p>
          <w:p>
            <w:pPr>
              <w:numPr>
                <w:ilvl w:val="0"/>
                <w:numId w:val="0"/>
              </w:numPr>
              <w:bidi w:val="0"/>
              <w:spacing w:line="240" w:lineRule="auto"/>
              <w:ind w:leftChars="200" w:right="0" w:rightChars="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党政机关领导干部在职或退休后拟担任法定代表人的，应当符合干部管理有关规定</w:t>
            </w:r>
            <w:r>
              <w:rPr>
                <w:rFonts w:hint="eastAsia" w:ascii="宋体" w:hAnsi="宋体" w:eastAsia="宋体" w:cs="宋体"/>
                <w:color w:val="000000"/>
                <w:spacing w:val="0"/>
                <w:w w:val="100"/>
                <w:position w:val="0"/>
                <w:sz w:val="24"/>
                <w:szCs w:val="24"/>
                <w:lang w:eastAsia="zh-CN"/>
              </w:rPr>
              <w:t>。</w:t>
            </w:r>
          </w:p>
          <w:p>
            <w:pPr>
              <w:numPr>
                <w:ilvl w:val="0"/>
                <w:numId w:val="10"/>
              </w:numPr>
              <w:bidi w:val="0"/>
              <w:spacing w:line="240" w:lineRule="auto"/>
              <w:ind w:left="0" w:leftChars="0" w:right="0" w:rightChars="0"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《事业单位登记管理暂行条例实施细则</w:t>
            </w:r>
            <w:r>
              <w:rPr>
                <w:rFonts w:hint="eastAsia" w:ascii="宋体" w:hAnsi="宋体" w:eastAsia="宋体" w:cs="宋体"/>
                <w:color w:val="000000"/>
                <w:spacing w:val="0"/>
                <w:w w:val="100"/>
                <w:position w:val="0"/>
                <w:sz w:val="24"/>
                <w:szCs w:val="24"/>
                <w:lang w:eastAsia="zh-CN"/>
              </w:rPr>
              <w:t>》</w:t>
            </w:r>
          </w:p>
          <w:p>
            <w:pPr>
              <w:numPr>
                <w:ilvl w:val="0"/>
                <w:numId w:val="0"/>
              </w:numPr>
              <w:bidi w:val="0"/>
              <w:spacing w:line="240" w:lineRule="auto"/>
              <w:ind w:right="0" w:rightChars="0"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第三十一条</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事业单位法定代表人应当具备下列条件：（一）具有完全民事行为能力的自然人；（二）该事业单位的主要行政负责人</w:t>
            </w:r>
            <w:r>
              <w:rPr>
                <w:rFonts w:hint="eastAsia" w:ascii="宋体" w:hAnsi="宋体" w:eastAsia="宋体" w:cs="宋体"/>
                <w:color w:val="000000"/>
                <w:spacing w:val="0"/>
                <w:w w:val="100"/>
                <w:position w:val="0"/>
                <w:sz w:val="24"/>
                <w:szCs w:val="24"/>
                <w:lang w:eastAsia="zh-CN"/>
              </w:rPr>
              <w:t>。</w:t>
            </w:r>
          </w:p>
          <w:p>
            <w:pPr>
              <w:numPr>
                <w:ilvl w:val="0"/>
                <w:numId w:val="0"/>
              </w:numPr>
              <w:bidi w:val="0"/>
              <w:spacing w:line="240" w:lineRule="auto"/>
              <w:ind w:right="0" w:rightChars="0"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u w:val="none"/>
              </w:rPr>
              <w:t>违反法律、法规和政策规定产生的事业单位主要行政负责人，不得担任事业单位法定代表人。</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eastAsia="宋体"/>
                <w:color w:val="000000"/>
                <w:spacing w:val="0"/>
                <w:w w:val="100"/>
                <w:position w:val="0"/>
                <w:sz w:val="24"/>
                <w:szCs w:val="24"/>
                <w:lang w:eastAsia="zh-CN"/>
              </w:rPr>
            </w:pPr>
            <w:r>
              <w:rPr>
                <w:rFonts w:hint="eastAsia"/>
                <w:color w:val="000000"/>
                <w:spacing w:val="0"/>
                <w:w w:val="100"/>
                <w:position w:val="0"/>
                <w:sz w:val="24"/>
                <w:szCs w:val="24"/>
                <w:lang w:eastAsia="zh-CN"/>
              </w:rPr>
              <w:t>中央编办</w:t>
            </w:r>
          </w:p>
        </w:tc>
      </w:tr>
      <w:tr>
        <w:tblPrEx>
          <w:tblCellMar>
            <w:top w:w="0" w:type="dxa"/>
            <w:left w:w="10" w:type="dxa"/>
            <w:bottom w:w="0" w:type="dxa"/>
            <w:right w:w="10" w:type="dxa"/>
          </w:tblCellMar>
        </w:tblPrEx>
        <w:trPr>
          <w:trHeight w:val="2731"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22、对失信主体招录（聘）为公务员或事业单位工作人员依 法予以限制。</w:t>
            </w:r>
          </w:p>
          <w:p>
            <w:pPr>
              <w:bidi w:val="0"/>
              <w:rPr>
                <w:rFonts w:hint="eastAsia" w:ascii="宋体" w:hAnsi="宋体" w:eastAsia="宋体" w:cs="宋体"/>
                <w:color w:val="000000"/>
                <w:spacing w:val="0"/>
                <w:w w:val="100"/>
                <w:position w:val="0"/>
                <w:sz w:val="24"/>
                <w:szCs w:val="24"/>
              </w:rPr>
            </w:pPr>
          </w:p>
        </w:tc>
        <w:tc>
          <w:tcPr>
            <w:tcW w:w="9400" w:type="dxa"/>
            <w:tcBorders>
              <w:top w:val="single" w:color="auto" w:sz="4" w:space="0"/>
              <w:left w:val="single" w:color="auto" w:sz="4" w:space="0"/>
              <w:bottom w:val="single" w:color="auto" w:sz="4" w:space="0"/>
            </w:tcBorders>
            <w:shd w:val="clear" w:color="auto" w:fill="FFFFFF"/>
            <w:vAlign w:val="top"/>
          </w:tcPr>
          <w:p>
            <w:pPr>
              <w:numPr>
                <w:ilvl w:val="0"/>
                <w:numId w:val="12"/>
              </w:numPr>
              <w:bidi w:val="0"/>
              <w:spacing w:line="240" w:lineRule="auto"/>
              <w:ind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《中华人民共和国公务员法</w:t>
            </w:r>
            <w:r>
              <w:rPr>
                <w:rFonts w:hint="eastAsia" w:ascii="宋体" w:hAnsi="宋体" w:eastAsia="宋体" w:cs="宋体"/>
                <w:color w:val="000000"/>
                <w:spacing w:val="0"/>
                <w:w w:val="100"/>
                <w:position w:val="0"/>
                <w:sz w:val="24"/>
                <w:szCs w:val="24"/>
                <w:lang w:eastAsia="zh-CN"/>
              </w:rPr>
              <w:t>》</w:t>
            </w:r>
          </w:p>
          <w:p>
            <w:pPr>
              <w:numPr>
                <w:ilvl w:val="0"/>
                <w:numId w:val="13"/>
              </w:numPr>
              <w:bidi w:val="0"/>
              <w:spacing w:line="240" w:lineRule="auto"/>
              <w:ind w:right="0" w:rightChars="0"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公务员应当履行下列义务：（一）模范遵守宪法和法律；（二）按照规定的权限和程序认真履行职责，努力提高工作效率；（三）全心全意为人民服务，接受人民监督；（四）维护国家的安全、荣誉和利益；（五）忠于职守，勤勉尽责，服从和执行上级依法作出的决定和命令；（六）保守国家秘密和工作秘密；（七）遵守纪律，恪守职业道德，模范遵守社会公德；（八）清正廉洁，公道正派；（九）法律规定的其他义务</w:t>
            </w:r>
            <w:r>
              <w:rPr>
                <w:rFonts w:hint="eastAsia" w:ascii="宋体" w:hAnsi="宋体" w:eastAsia="宋体" w:cs="宋体"/>
                <w:color w:val="000000"/>
                <w:spacing w:val="0"/>
                <w:w w:val="100"/>
                <w:position w:val="0"/>
                <w:sz w:val="24"/>
                <w:szCs w:val="24"/>
                <w:lang w:eastAsia="zh-CN"/>
              </w:rPr>
              <w:t>。</w:t>
            </w:r>
          </w:p>
          <w:p>
            <w:pPr>
              <w:numPr>
                <w:ilvl w:val="0"/>
                <w:numId w:val="12"/>
              </w:numPr>
              <w:bidi w:val="0"/>
              <w:spacing w:line="240" w:lineRule="auto"/>
              <w:ind w:left="0" w:leftChars="0" w:right="0" w:rightChars="0" w:firstLine="480" w:firstLineChars="200"/>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《公务员录用规定（试行）</w:t>
            </w:r>
          </w:p>
          <w:p>
            <w:pPr>
              <w:numPr>
                <w:ilvl w:val="0"/>
                <w:numId w:val="0"/>
              </w:numPr>
              <w:bidi w:val="0"/>
              <w:spacing w:line="240" w:lineRule="auto"/>
              <w:ind w:right="0" w:rightChars="0"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第十六条</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报考公务员，应当具备下列资格条</w:t>
            </w:r>
            <w:r>
              <w:rPr>
                <w:rFonts w:hint="eastAsia" w:ascii="宋体" w:hAnsi="宋体" w:eastAsia="宋体" w:cs="宋体"/>
                <w:color w:val="000000"/>
                <w:spacing w:val="0"/>
                <w:w w:val="100"/>
                <w:position w:val="0"/>
                <w:sz w:val="24"/>
                <w:szCs w:val="24"/>
                <w:lang w:val="zh-CN" w:eastAsia="zh-CN" w:bidi="zh-CN"/>
              </w:rPr>
              <w:t>件：…</w:t>
            </w:r>
            <w:r>
              <w:rPr>
                <w:rFonts w:hint="eastAsia" w:ascii="宋体" w:hAnsi="宋体" w:eastAsia="宋体" w:cs="宋体"/>
                <w:color w:val="000000"/>
                <w:spacing w:val="0"/>
                <w:w w:val="100"/>
                <w:position w:val="0"/>
                <w:sz w:val="24"/>
                <w:szCs w:val="24"/>
              </w:rPr>
              <w:t>（四）具有良好的品</w:t>
            </w:r>
            <w:r>
              <w:rPr>
                <w:rFonts w:hint="eastAsia" w:ascii="宋体" w:hAnsi="宋体" w:eastAsia="宋体" w:cs="宋体"/>
                <w:color w:val="000000"/>
                <w:spacing w:val="0"/>
                <w:w w:val="100"/>
                <w:position w:val="0"/>
                <w:sz w:val="24"/>
                <w:szCs w:val="24"/>
                <w:lang w:val="zh-CN" w:eastAsia="zh-CN" w:bidi="zh-CN"/>
              </w:rPr>
              <w:t>行；…</w:t>
            </w:r>
            <w:r>
              <w:rPr>
                <w:rFonts w:hint="eastAsia" w:ascii="宋体" w:hAnsi="宋体" w:eastAsia="宋体" w:cs="宋体"/>
                <w:color w:val="000000"/>
                <w:spacing w:val="0"/>
                <w:w w:val="100"/>
                <w:position w:val="0"/>
                <w:sz w:val="24"/>
                <w:szCs w:val="24"/>
              </w:rPr>
              <w:t>（八）省级以</w:t>
            </w:r>
            <w:r>
              <w:rPr>
                <w:rFonts w:hint="eastAsia" w:ascii="宋体" w:hAnsi="宋体" w:eastAsia="宋体" w:cs="宋体"/>
                <w:color w:val="000000"/>
                <w:spacing w:val="0"/>
                <w:w w:val="100"/>
                <w:position w:val="0"/>
                <w:sz w:val="24"/>
                <w:szCs w:val="24"/>
                <w:lang w:eastAsia="zh-CN"/>
              </w:rPr>
              <w:t>上</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eastAsia="宋体"/>
                <w:color w:val="000000"/>
                <w:spacing w:val="0"/>
                <w:w w:val="100"/>
                <w:position w:val="0"/>
                <w:sz w:val="24"/>
                <w:szCs w:val="24"/>
                <w:lang w:eastAsia="zh-CN"/>
              </w:rPr>
            </w:pPr>
            <w:r>
              <w:rPr>
                <w:rFonts w:hint="eastAsia"/>
                <w:color w:val="000000"/>
                <w:spacing w:val="0"/>
                <w:w w:val="100"/>
                <w:position w:val="0"/>
                <w:sz w:val="24"/>
                <w:szCs w:val="24"/>
                <w:lang w:eastAsia="zh-CN"/>
              </w:rPr>
              <w:t>人力资源社会保障部</w:t>
            </w:r>
          </w:p>
        </w:tc>
      </w:tr>
      <w:tr>
        <w:tblPrEx>
          <w:tblCellMar>
            <w:top w:w="0" w:type="dxa"/>
            <w:left w:w="10" w:type="dxa"/>
            <w:bottom w:w="0" w:type="dxa"/>
            <w:right w:w="10" w:type="dxa"/>
          </w:tblCellMar>
        </w:tblPrEx>
        <w:trPr>
          <w:trHeight w:val="1687"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bidi w:val="0"/>
              <w:rPr>
                <w:rFonts w:hint="eastAsia" w:ascii="宋体" w:hAnsi="宋体" w:eastAsia="宋体" w:cs="宋体"/>
                <w:color w:val="000000"/>
                <w:spacing w:val="0"/>
                <w:w w:val="100"/>
                <w:position w:val="0"/>
                <w:sz w:val="24"/>
                <w:szCs w:val="24"/>
              </w:rPr>
            </w:pPr>
          </w:p>
        </w:tc>
        <w:tc>
          <w:tcPr>
            <w:tcW w:w="9400" w:type="dxa"/>
            <w:tcBorders>
              <w:top w:val="single" w:color="auto" w:sz="4" w:space="0"/>
              <w:left w:val="single" w:color="auto" w:sz="4" w:space="0"/>
              <w:bottom w:val="single" w:color="auto" w:sz="4" w:space="0"/>
            </w:tcBorders>
            <w:shd w:val="clear" w:color="auto" w:fill="FFFFFF"/>
            <w:vAlign w:val="top"/>
          </w:tcPr>
          <w:p>
            <w:pPr>
              <w:bidi w:val="0"/>
              <w:rPr>
                <w:rFonts w:hint="eastAsia"/>
              </w:rPr>
            </w:pPr>
            <w:r>
              <w:rPr>
                <w:rFonts w:hint="eastAsia"/>
              </w:rPr>
              <w:t>公务员主管部门规定的拟任职位所要求的资格条件；（九）法律、法规规定的其他条件。</w:t>
            </w:r>
          </w:p>
          <w:p>
            <w:pPr>
              <w:bidi w:val="0"/>
              <w:ind w:firstLine="480" w:firstLineChars="200"/>
              <w:rPr>
                <w:rFonts w:hint="eastAsia"/>
              </w:rPr>
            </w:pPr>
            <w:r>
              <w:rPr>
                <w:rFonts w:hint="eastAsia"/>
              </w:rPr>
              <w:t>3、《事业单位公开招聘人员暂行规定》</w:t>
            </w:r>
          </w:p>
          <w:p>
            <w:pPr>
              <w:bidi w:val="0"/>
              <w:ind w:firstLine="480" w:firstLineChars="200"/>
              <w:rPr>
                <w:rFonts w:hint="eastAsia" w:ascii="宋体" w:hAnsi="宋体" w:eastAsia="宋体" w:cs="宋体"/>
                <w:color w:val="000000"/>
                <w:spacing w:val="0"/>
                <w:w w:val="100"/>
                <w:position w:val="0"/>
                <w:sz w:val="24"/>
                <w:szCs w:val="24"/>
              </w:rPr>
            </w:pPr>
            <w:r>
              <w:rPr>
                <w:rFonts w:hint="eastAsia"/>
              </w:rPr>
              <w:t>第九条</w:t>
            </w:r>
            <w:r>
              <w:rPr>
                <w:rFonts w:hint="eastAsia" w:eastAsia="宋体"/>
                <w:lang w:val="en-US" w:eastAsia="zh-CN"/>
              </w:rPr>
              <w:t xml:space="preserve">  </w:t>
            </w:r>
            <w:r>
              <w:rPr>
                <w:rFonts w:hint="eastAsia"/>
              </w:rPr>
              <w:t>应聘人员必须具备下列条件：（一）具有中华人民共和国国籍；（二）遵守宪法和法律</w:t>
            </w:r>
            <w:r>
              <w:rPr>
                <w:rFonts w:hint="eastAsia" w:eastAsia="宋体"/>
                <w:lang w:eastAsia="zh-CN"/>
              </w:rPr>
              <w:t>；</w:t>
            </w:r>
            <w:r>
              <w:rPr>
                <w:rFonts w:hint="eastAsia"/>
              </w:rPr>
              <w:t>（三）具有良好的品行；（四）岗位所需的专业或技能条件；（五）适应岗位要求的身体条件；（六） 岗位所需要的其他条件。</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p>
        </w:tc>
      </w:tr>
      <w:tr>
        <w:tblPrEx>
          <w:tblCellMar>
            <w:top w:w="0" w:type="dxa"/>
            <w:left w:w="10" w:type="dxa"/>
            <w:bottom w:w="0" w:type="dxa"/>
            <w:right w:w="10" w:type="dxa"/>
          </w:tblCellMar>
        </w:tblPrEx>
        <w:trPr>
          <w:trHeight w:val="4761"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23、对严重失信的自然人，依法限制担任上市公司、债券公 司、基金管理公司、期货公司董事、监事和高级管理人员等，对其证券、基金、 期货从业资格申请从严审核,对已成为证券、 基金、期货从业人员的相关主体予以关注。</w:t>
            </w:r>
          </w:p>
          <w:p>
            <w:pPr>
              <w:bidi w:val="0"/>
              <w:rPr>
                <w:rFonts w:hint="eastAsia" w:ascii="宋体" w:hAnsi="宋体" w:eastAsia="宋体" w:cs="宋体"/>
                <w:color w:val="000000"/>
                <w:spacing w:val="0"/>
                <w:w w:val="100"/>
                <w:position w:val="0"/>
                <w:sz w:val="24"/>
                <w:szCs w:val="24"/>
              </w:rPr>
            </w:pPr>
          </w:p>
        </w:tc>
        <w:tc>
          <w:tcPr>
            <w:tcW w:w="9400" w:type="dxa"/>
            <w:tcBorders>
              <w:top w:val="single" w:color="auto" w:sz="4" w:space="0"/>
              <w:left w:val="single" w:color="auto" w:sz="4" w:space="0"/>
              <w:bottom w:val="single" w:color="auto" w:sz="4" w:space="0"/>
            </w:tcBorders>
            <w:shd w:val="clear" w:color="auto" w:fill="FFFFFF"/>
            <w:vAlign w:val="top"/>
          </w:tcPr>
          <w:p>
            <w:pPr>
              <w:bidi w:val="0"/>
              <w:ind w:firstLine="480" w:firstLineChars="200"/>
              <w:rPr>
                <w:rFonts w:hint="eastAsia"/>
              </w:rPr>
            </w:pPr>
            <w:r>
              <w:rPr>
                <w:rFonts w:hint="eastAsia"/>
              </w:rPr>
              <w:t>1、《中华人民共和国公司法》</w:t>
            </w:r>
          </w:p>
          <w:p>
            <w:pPr>
              <w:bidi w:val="0"/>
              <w:ind w:firstLine="480" w:firstLineChars="200"/>
              <w:rPr>
                <w:rFonts w:hint="eastAsia"/>
              </w:rPr>
            </w:pPr>
            <w:r>
              <w:rPr>
                <w:rFonts w:hint="eastAsia"/>
              </w:rPr>
              <w:t>第一百四十六条</w:t>
            </w:r>
            <w:r>
              <w:rPr>
                <w:rFonts w:hint="eastAsia"/>
                <w:lang w:val="en-US" w:eastAsia="zh-CN"/>
              </w:rPr>
              <w:t xml:space="preserve">  </w:t>
            </w:r>
            <w:r>
              <w:rPr>
                <w:rFonts w:hint="eastAsia"/>
              </w:rPr>
              <w:t>有下列情形之一的，不得担任公司的董事、监事、</w:t>
            </w:r>
            <w:r>
              <w:rPr>
                <w:rFonts w:hint="eastAsia" w:eastAsia="宋体"/>
                <w:lang w:eastAsia="zh-CN"/>
              </w:rPr>
              <w:t>高</w:t>
            </w:r>
            <w:r>
              <w:rPr>
                <w:rFonts w:hint="eastAsia"/>
              </w:rPr>
              <w:t>级管理人</w:t>
            </w:r>
            <w:r>
              <w:rPr>
                <w:rFonts w:hint="eastAsia"/>
                <w:lang w:val="zh-CN" w:eastAsia="zh-CN"/>
              </w:rPr>
              <w:t>员：</w:t>
            </w:r>
            <w:r>
              <w:rPr>
                <w:rFonts w:hint="eastAsia"/>
              </w:rPr>
              <w:t>（五）个人所负数额较大的债务到期未清偿。</w:t>
            </w:r>
          </w:p>
          <w:p>
            <w:pPr>
              <w:bidi w:val="0"/>
              <w:ind w:firstLine="480" w:firstLineChars="200"/>
              <w:rPr>
                <w:rFonts w:hint="eastAsia"/>
              </w:rPr>
            </w:pPr>
            <w:bookmarkStart w:id="89" w:name="bookmark96"/>
            <w:r>
              <w:rPr>
                <w:rFonts w:hint="eastAsia"/>
              </w:rPr>
              <w:t>2</w:t>
            </w:r>
            <w:bookmarkEnd w:id="89"/>
            <w:r>
              <w:rPr>
                <w:rFonts w:hint="eastAsia"/>
              </w:rPr>
              <w:t>、《证券业从业人员资格管理办法》</w:t>
            </w:r>
          </w:p>
          <w:p>
            <w:pPr>
              <w:bidi w:val="0"/>
              <w:ind w:firstLine="480" w:firstLineChars="200"/>
              <w:rPr>
                <w:rFonts w:hint="eastAsia"/>
              </w:rPr>
            </w:pPr>
            <w:r>
              <w:rPr>
                <w:rFonts w:hint="eastAsia"/>
              </w:rPr>
              <w:t>第十条</w:t>
            </w:r>
            <w:r>
              <w:rPr>
                <w:rFonts w:hint="eastAsia" w:eastAsia="宋体"/>
                <w:lang w:val="en-US" w:eastAsia="zh-CN"/>
              </w:rPr>
              <w:t xml:space="preserve">  </w:t>
            </w:r>
            <w:r>
              <w:rPr>
                <w:rFonts w:hint="eastAsia"/>
              </w:rPr>
              <w:t>取得从业资格的人员，符合下列条件的，可以通过机构申请执业证</w:t>
            </w:r>
            <w:r>
              <w:rPr>
                <w:rFonts w:hint="eastAsia"/>
                <w:lang w:val="zh-CN" w:eastAsia="zh-CN"/>
              </w:rPr>
              <w:t>书：</w:t>
            </w:r>
            <w:r>
              <w:rPr>
                <w:rFonts w:hint="eastAsia"/>
              </w:rPr>
              <w:t>（五）品行端</w:t>
            </w:r>
            <w:r>
              <w:rPr>
                <w:rFonts w:hint="eastAsia" w:eastAsia="宋体"/>
                <w:lang w:eastAsia="zh-CN"/>
              </w:rPr>
              <w:t>正，</w:t>
            </w:r>
            <w:r>
              <w:rPr>
                <w:rFonts w:hint="eastAsia"/>
              </w:rPr>
              <w:t>具有良好的职业道</w:t>
            </w:r>
            <w:r>
              <w:rPr>
                <w:rFonts w:hint="eastAsia"/>
                <w:lang w:val="zh-CN" w:eastAsia="zh-CN"/>
              </w:rPr>
              <w:t>德；</w:t>
            </w:r>
          </w:p>
          <w:p>
            <w:pPr>
              <w:bidi w:val="0"/>
              <w:ind w:firstLine="480" w:firstLineChars="200"/>
              <w:rPr>
                <w:rFonts w:hint="eastAsia"/>
              </w:rPr>
            </w:pPr>
            <w:bookmarkStart w:id="90" w:name="bookmark97"/>
            <w:r>
              <w:rPr>
                <w:rFonts w:hint="eastAsia"/>
              </w:rPr>
              <w:t>3</w:t>
            </w:r>
            <w:bookmarkEnd w:id="90"/>
            <w:r>
              <w:rPr>
                <w:rFonts w:hint="eastAsia"/>
              </w:rPr>
              <w:t>、《期货从业人员管理办法》</w:t>
            </w:r>
          </w:p>
          <w:p>
            <w:pPr>
              <w:bidi w:val="0"/>
              <w:ind w:firstLine="480" w:firstLineChars="200"/>
              <w:rPr>
                <w:rFonts w:hint="eastAsia"/>
              </w:rPr>
            </w:pPr>
            <w:r>
              <w:rPr>
                <w:rFonts w:hint="eastAsia"/>
              </w:rPr>
              <w:t>第十条</w:t>
            </w:r>
            <w:r>
              <w:rPr>
                <w:rFonts w:hint="eastAsia" w:eastAsia="宋体"/>
                <w:lang w:val="en-US" w:eastAsia="zh-CN"/>
              </w:rPr>
              <w:t xml:space="preserve">  </w:t>
            </w:r>
            <w:r>
              <w:rPr>
                <w:rFonts w:hint="eastAsia"/>
              </w:rPr>
              <w:t>机构任用具有从业资格考试合格证明且符合下列条件的人员从事期货业务的，应当为其办理从业资格申请：（一）品行端正，具有良好的职业道德；</w:t>
            </w:r>
          </w:p>
          <w:p>
            <w:pPr>
              <w:bidi w:val="0"/>
              <w:ind w:firstLine="480" w:firstLineChars="200"/>
              <w:rPr>
                <w:rFonts w:hint="eastAsia"/>
              </w:rPr>
            </w:pPr>
            <w:bookmarkStart w:id="91" w:name="bookmark98"/>
            <w:r>
              <w:rPr>
                <w:rFonts w:hint="eastAsia"/>
              </w:rPr>
              <w:t>4</w:t>
            </w:r>
            <w:bookmarkEnd w:id="91"/>
            <w:r>
              <w:rPr>
                <w:rFonts w:hint="eastAsia"/>
              </w:rPr>
              <w:t>、《私募投资基金监督管理暂行办法》</w:t>
            </w:r>
          </w:p>
          <w:p>
            <w:pPr>
              <w:bidi w:val="0"/>
              <w:ind w:firstLine="480" w:firstLineChars="200"/>
              <w:rPr>
                <w:rFonts w:hint="eastAsia"/>
              </w:rPr>
            </w:pPr>
            <w:r>
              <w:rPr>
                <w:rFonts w:hint="eastAsia"/>
              </w:rPr>
              <w:t>第四条</w:t>
            </w:r>
            <w:r>
              <w:rPr>
                <w:rFonts w:hint="eastAsia" w:eastAsia="宋体"/>
                <w:lang w:val="en-US" w:eastAsia="zh-CN"/>
              </w:rPr>
              <w:t xml:space="preserve">  </w:t>
            </w:r>
            <w:r>
              <w:rPr>
                <w:rFonts w:hint="eastAsia"/>
              </w:rPr>
              <w:t>私募基金管理人和从事私募基金托管业务的机构（以下简称私募基金托管人）管理、运用私募基金财产，从事私募基金销售业务的机构（以下简称私募基金销售机构）及其他私募服务机构从事私募基金服务活动，应当恪尽职守，履行诚实信用、谨慎勤勉的义务。</w:t>
            </w:r>
          </w:p>
          <w:p>
            <w:pPr>
              <w:pStyle w:val="30"/>
              <w:keepNext w:val="0"/>
              <w:keepLines w:val="0"/>
              <w:widowControl w:val="0"/>
              <w:shd w:val="clear" w:color="auto" w:fill="auto"/>
              <w:bidi w:val="0"/>
              <w:spacing w:before="0" w:after="300" w:line="240" w:lineRule="auto"/>
              <w:ind w:right="0" w:firstLine="480" w:firstLineChars="200"/>
              <w:jc w:val="left"/>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私募基金从业人员应当遵守法律、行政法规，恪守职业道德和行为规范。</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证监会</w:t>
            </w:r>
          </w:p>
        </w:tc>
      </w:tr>
      <w:tr>
        <w:tblPrEx>
          <w:tblCellMar>
            <w:top w:w="0" w:type="dxa"/>
            <w:left w:w="10" w:type="dxa"/>
            <w:bottom w:w="0" w:type="dxa"/>
            <w:right w:w="10" w:type="dxa"/>
          </w:tblCellMar>
        </w:tblPrEx>
        <w:trPr>
          <w:trHeight w:val="1321"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lang w:val="zh-CN" w:eastAsia="zh-CN" w:bidi="zh-CN"/>
              </w:rPr>
              <w:t>24、</w:t>
            </w:r>
            <w:r>
              <w:rPr>
                <w:rFonts w:hint="eastAsia" w:ascii="宋体" w:hAnsi="宋体" w:eastAsia="宋体" w:cs="宋体"/>
                <w:color w:val="000000"/>
                <w:spacing w:val="0"/>
                <w:w w:val="100"/>
                <w:position w:val="0"/>
                <w:sz w:val="24"/>
                <w:szCs w:val="24"/>
              </w:rPr>
              <w:t>对失信主体担任保险公司的董事、监事、高级管理人员依法予以限制。</w:t>
            </w:r>
          </w:p>
          <w:p>
            <w:pPr>
              <w:bidi w:val="0"/>
              <w:rPr>
                <w:rFonts w:hint="eastAsia" w:ascii="宋体" w:hAnsi="宋体" w:eastAsia="宋体" w:cs="宋体"/>
                <w:color w:val="000000"/>
                <w:spacing w:val="0"/>
                <w:w w:val="100"/>
                <w:position w:val="0"/>
                <w:sz w:val="24"/>
                <w:szCs w:val="24"/>
              </w:rPr>
            </w:pPr>
          </w:p>
        </w:tc>
        <w:tc>
          <w:tcPr>
            <w:tcW w:w="9400" w:type="dxa"/>
            <w:tcBorders>
              <w:top w:val="single" w:color="auto" w:sz="4" w:space="0"/>
              <w:left w:val="single" w:color="auto" w:sz="4" w:space="0"/>
              <w:bottom w:val="single" w:color="auto" w:sz="4" w:space="0"/>
            </w:tcBorders>
            <w:shd w:val="clear" w:color="auto" w:fill="FFFFFF"/>
            <w:vAlign w:val="top"/>
          </w:tcPr>
          <w:p>
            <w:pPr>
              <w:pStyle w:val="30"/>
              <w:keepNext w:val="0"/>
              <w:keepLines w:val="0"/>
              <w:widowControl w:val="0"/>
              <w:shd w:val="clear" w:color="auto" w:fill="auto"/>
              <w:bidi w:val="0"/>
              <w:spacing w:before="0" w:after="0" w:line="240" w:lineRule="auto"/>
              <w:ind w:right="0" w:firstLine="480" w:firstLineChars="2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1、《保险公司董事、监事和高级管理人员任职资格管理规定》</w:t>
            </w:r>
          </w:p>
          <w:p>
            <w:pPr>
              <w:pStyle w:val="30"/>
              <w:keepNext w:val="0"/>
              <w:keepLines w:val="0"/>
              <w:widowControl w:val="0"/>
              <w:shd w:val="clear" w:color="auto" w:fill="auto"/>
              <w:bidi w:val="0"/>
              <w:spacing w:before="0" w:after="0" w:line="240" w:lineRule="auto"/>
              <w:ind w:right="0" w:firstLine="480" w:firstLineChars="200"/>
              <w:jc w:val="left"/>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第七条</w:t>
            </w:r>
            <w:r>
              <w:rPr>
                <w:rFonts w:hint="eastAsia"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保险机构董事、监事和高级管理人员应当具有诚实信用的品行、良好的合规经营意识和履行职务必需的经营管理能力。</w:t>
            </w:r>
          </w:p>
          <w:p>
            <w:pPr>
              <w:numPr>
                <w:ilvl w:val="0"/>
                <w:numId w:val="0"/>
              </w:numPr>
              <w:bidi w:val="0"/>
              <w:spacing w:line="240" w:lineRule="auto"/>
              <w:ind w:right="0" w:rightChars="0" w:firstLine="480" w:firstLineChars="200"/>
              <w:rPr>
                <w:rFonts w:hint="eastAsia" w:ascii="宋体" w:hAnsi="宋体" w:eastAsia="宋体" w:cs="宋体"/>
                <w:color w:val="000000"/>
                <w:spacing w:val="0"/>
                <w:w w:val="100"/>
                <w:position w:val="0"/>
                <w:sz w:val="24"/>
                <w:szCs w:val="24"/>
              </w:rPr>
            </w:pP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保监会</w:t>
            </w:r>
          </w:p>
        </w:tc>
      </w:tr>
      <w:tr>
        <w:tblPrEx>
          <w:tblCellMar>
            <w:top w:w="0" w:type="dxa"/>
            <w:left w:w="10" w:type="dxa"/>
            <w:bottom w:w="0" w:type="dxa"/>
            <w:right w:w="10" w:type="dxa"/>
          </w:tblCellMar>
        </w:tblPrEx>
        <w:trPr>
          <w:trHeight w:val="4161"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25、通过</w:t>
            </w:r>
            <w:r>
              <w:rPr>
                <w:rFonts w:hint="eastAsia" w:ascii="宋体" w:hAnsi="宋体" w:eastAsia="宋体" w:cs="宋体"/>
                <w:color w:val="000000"/>
                <w:spacing w:val="0"/>
                <w:w w:val="100"/>
                <w:position w:val="0"/>
                <w:sz w:val="24"/>
                <w:szCs w:val="24"/>
                <w:lang w:val="zh-CN" w:eastAsia="zh-CN" w:bidi="zh-CN"/>
              </w:rPr>
              <w:t>“信用</w:t>
            </w:r>
            <w:r>
              <w:rPr>
                <w:rFonts w:hint="eastAsia" w:ascii="宋体" w:hAnsi="宋体" w:eastAsia="宋体" w:cs="宋体"/>
                <w:color w:val="000000"/>
                <w:spacing w:val="0"/>
                <w:w w:val="100"/>
                <w:position w:val="0"/>
                <w:sz w:val="24"/>
                <w:szCs w:val="24"/>
              </w:rPr>
              <w:t>中国</w:t>
            </w:r>
            <w:r>
              <w:rPr>
                <w:rFonts w:hint="eastAsia" w:cs="宋体"/>
                <w:color w:val="000000"/>
                <w:spacing w:val="0"/>
                <w:w w:val="100"/>
                <w:position w:val="0"/>
                <w:sz w:val="24"/>
                <w:szCs w:val="24"/>
                <w:lang w:val="en-US" w:eastAsia="zh-CN" w:bidi="en-US"/>
              </w:rPr>
              <w:t>”</w:t>
            </w:r>
            <w:r>
              <w:rPr>
                <w:rFonts w:hint="eastAsia" w:ascii="宋体" w:hAnsi="宋体" w:eastAsia="宋体" w:cs="宋体"/>
                <w:color w:val="000000"/>
                <w:spacing w:val="0"/>
                <w:w w:val="100"/>
                <w:position w:val="0"/>
                <w:sz w:val="24"/>
                <w:szCs w:val="24"/>
              </w:rPr>
              <w:t>、“信用交通</w:t>
            </w:r>
            <w:r>
              <w:rPr>
                <w:rFonts w:hint="eastAsia" w:ascii="宋体" w:hAnsi="宋体" w:eastAsia="宋体" w:cs="宋体"/>
                <w:color w:val="000000"/>
                <w:spacing w:val="0"/>
                <w:w w:val="100"/>
                <w:position w:val="0"/>
                <w:sz w:val="24"/>
                <w:szCs w:val="24"/>
                <w:lang w:val="zh-CN" w:eastAsia="zh-CN" w:bidi="zh-CN"/>
              </w:rPr>
              <w:t>”等</w:t>
            </w:r>
            <w:r>
              <w:rPr>
                <w:rFonts w:hint="eastAsia" w:ascii="宋体" w:hAnsi="宋体" w:eastAsia="宋体" w:cs="宋体"/>
                <w:color w:val="000000"/>
                <w:spacing w:val="0"/>
                <w:w w:val="100"/>
                <w:position w:val="0"/>
                <w:sz w:val="24"/>
                <w:szCs w:val="24"/>
              </w:rPr>
              <w:t>网站和国家企业信用信息公示系统依法向社会公布失信主体信息。</w:t>
            </w:r>
          </w:p>
          <w:p>
            <w:pPr>
              <w:bidi w:val="0"/>
              <w:rPr>
                <w:rFonts w:hint="eastAsia" w:ascii="宋体" w:hAnsi="宋体" w:eastAsia="宋体" w:cs="宋体"/>
                <w:color w:val="000000"/>
                <w:spacing w:val="0"/>
                <w:w w:val="100"/>
                <w:position w:val="0"/>
                <w:sz w:val="24"/>
                <w:szCs w:val="24"/>
              </w:rPr>
            </w:pPr>
          </w:p>
        </w:tc>
        <w:tc>
          <w:tcPr>
            <w:tcW w:w="9400" w:type="dxa"/>
            <w:tcBorders>
              <w:top w:val="single" w:color="auto" w:sz="4" w:space="0"/>
              <w:left w:val="single" w:color="auto" w:sz="4" w:space="0"/>
              <w:bottom w:val="single" w:color="auto" w:sz="4" w:space="0"/>
            </w:tcBorders>
            <w:shd w:val="clear" w:color="auto" w:fill="FFFFFF"/>
            <w:vAlign w:val="top"/>
          </w:tcPr>
          <w:p>
            <w:pPr>
              <w:numPr>
                <w:ilvl w:val="0"/>
                <w:numId w:val="14"/>
              </w:numPr>
              <w:bidi w:val="0"/>
              <w:spacing w:line="240" w:lineRule="auto"/>
              <w:ind w:right="0" w:rightChars="0"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《国务院办公厅关于运用大数据加强对市场主体服务和监管的若干意见</w:t>
            </w:r>
            <w:r>
              <w:rPr>
                <w:rFonts w:hint="eastAsia" w:ascii="宋体" w:hAnsi="宋体" w:eastAsia="宋体" w:cs="宋体"/>
                <w:color w:val="000000"/>
                <w:spacing w:val="0"/>
                <w:w w:val="100"/>
                <w:position w:val="0"/>
                <w:sz w:val="24"/>
                <w:szCs w:val="24"/>
                <w:lang w:eastAsia="zh-CN"/>
              </w:rPr>
              <w:t>》</w:t>
            </w:r>
          </w:p>
          <w:p>
            <w:pPr>
              <w:numPr>
                <w:ilvl w:val="0"/>
                <w:numId w:val="15"/>
              </w:numPr>
              <w:bidi w:val="0"/>
              <w:spacing w:line="240" w:lineRule="auto"/>
              <w:ind w:right="0" w:rightChars="0"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大力推进市场主体信息公示。</w:t>
            </w:r>
            <w:r>
              <w:rPr>
                <w:rFonts w:hint="eastAsia" w:ascii="宋体" w:hAnsi="宋体" w:eastAsia="宋体" w:cs="宋体"/>
                <w:color w:val="000000"/>
                <w:spacing w:val="0"/>
                <w:w w:val="100"/>
                <w:position w:val="0"/>
                <w:sz w:val="24"/>
                <w:szCs w:val="24"/>
                <w:lang w:val="zh-CN" w:eastAsia="zh-CN" w:bidi="zh-CN"/>
              </w:rPr>
              <w:t>…建设“信用</w:t>
            </w:r>
            <w:r>
              <w:rPr>
                <w:rFonts w:hint="eastAsia" w:ascii="宋体" w:hAnsi="宋体" w:eastAsia="宋体" w:cs="宋体"/>
                <w:color w:val="000000"/>
                <w:spacing w:val="0"/>
                <w:w w:val="100"/>
                <w:position w:val="0"/>
                <w:sz w:val="24"/>
                <w:szCs w:val="24"/>
              </w:rPr>
              <w:t>中国”网站，归集整今各地区、各部门掌握的应向社会公开的信用信息，实现信用信息一站式查询，方便社会了解市场主体信用状况。各级政府及其部门网站要与</w:t>
            </w:r>
            <w:r>
              <w:rPr>
                <w:rFonts w:hint="eastAsia" w:ascii="宋体" w:hAnsi="宋体" w:eastAsia="宋体" w:cs="宋体"/>
                <w:color w:val="000000"/>
                <w:spacing w:val="0"/>
                <w:w w:val="100"/>
                <w:position w:val="0"/>
                <w:sz w:val="24"/>
                <w:szCs w:val="24"/>
                <w:lang w:val="zh-CN" w:eastAsia="zh-CN" w:bidi="zh-CN"/>
              </w:rPr>
              <w:t>“信用</w:t>
            </w:r>
            <w:r>
              <w:rPr>
                <w:rFonts w:hint="eastAsia" w:ascii="宋体" w:hAnsi="宋体" w:eastAsia="宋体" w:cs="宋体"/>
                <w:color w:val="000000"/>
                <w:spacing w:val="0"/>
                <w:w w:val="100"/>
                <w:position w:val="0"/>
                <w:sz w:val="24"/>
                <w:szCs w:val="24"/>
              </w:rPr>
              <w:t>中国”网站连接，并将本单位政务公开信息和相关市场主体违法违规信息在</w:t>
            </w:r>
            <w:r>
              <w:rPr>
                <w:rFonts w:hint="eastAsia" w:ascii="宋体" w:hAnsi="宋体" w:eastAsia="宋体" w:cs="宋体"/>
                <w:color w:val="000000"/>
                <w:spacing w:val="0"/>
                <w:w w:val="100"/>
                <w:position w:val="0"/>
                <w:sz w:val="24"/>
                <w:szCs w:val="24"/>
                <w:lang w:val="zh-CN" w:eastAsia="zh-CN" w:bidi="zh-CN"/>
              </w:rPr>
              <w:t>“信用中国”</w:t>
            </w:r>
            <w:r>
              <w:rPr>
                <w:rFonts w:hint="eastAsia" w:ascii="宋体" w:hAnsi="宋体" w:eastAsia="宋体" w:cs="宋体"/>
                <w:color w:val="000000"/>
                <w:spacing w:val="0"/>
                <w:w w:val="100"/>
                <w:position w:val="0"/>
                <w:sz w:val="24"/>
                <w:szCs w:val="24"/>
              </w:rPr>
              <w:t>网站公开</w:t>
            </w:r>
            <w:r>
              <w:rPr>
                <w:rFonts w:hint="eastAsia" w:ascii="宋体" w:hAnsi="宋体" w:eastAsia="宋体" w:cs="宋体"/>
                <w:color w:val="000000"/>
                <w:spacing w:val="0"/>
                <w:w w:val="100"/>
                <w:position w:val="0"/>
                <w:sz w:val="24"/>
                <w:szCs w:val="24"/>
                <w:lang w:eastAsia="zh-CN"/>
              </w:rPr>
              <w:t>。</w:t>
            </w:r>
          </w:p>
          <w:p>
            <w:pPr>
              <w:numPr>
                <w:ilvl w:val="0"/>
                <w:numId w:val="14"/>
              </w:numPr>
              <w:bidi w:val="0"/>
              <w:spacing w:line="240" w:lineRule="auto"/>
              <w:ind w:left="0" w:leftChars="0" w:right="0" w:rightChars="0"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《企业信息公示暂行条例</w:t>
            </w:r>
            <w:r>
              <w:rPr>
                <w:rFonts w:hint="eastAsia" w:ascii="宋体" w:hAnsi="宋体" w:eastAsia="宋体" w:cs="宋体"/>
                <w:color w:val="000000"/>
                <w:spacing w:val="0"/>
                <w:w w:val="100"/>
                <w:position w:val="0"/>
                <w:sz w:val="24"/>
                <w:szCs w:val="24"/>
                <w:lang w:eastAsia="zh-CN"/>
              </w:rPr>
              <w:t>》</w:t>
            </w:r>
          </w:p>
          <w:p>
            <w:pPr>
              <w:numPr>
                <w:ilvl w:val="0"/>
                <w:numId w:val="16"/>
              </w:numPr>
              <w:bidi w:val="0"/>
              <w:spacing w:line="240" w:lineRule="auto"/>
              <w:ind w:right="0" w:rightChars="0"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工商行政管理部门以外的其他政府部门（以下简称其他政府部门）应当公示其在履行职责过程中产生的下列企业信息：（1</w:t>
            </w:r>
            <w:r>
              <w:rPr>
                <w:rFonts w:hint="eastAsia" w:ascii="宋体" w:hAnsi="宋体" w:eastAsia="宋体" w:cs="宋体"/>
                <w:color w:val="686E7C"/>
                <w:spacing w:val="0"/>
                <w:w w:val="100"/>
                <w:position w:val="0"/>
                <w:sz w:val="24"/>
                <w:szCs w:val="24"/>
              </w:rPr>
              <w:t>）</w:t>
            </w:r>
            <w:r>
              <w:rPr>
                <w:rFonts w:hint="eastAsia" w:ascii="宋体" w:hAnsi="宋体" w:eastAsia="宋体" w:cs="宋体"/>
                <w:color w:val="000000"/>
                <w:spacing w:val="0"/>
                <w:w w:val="100"/>
                <w:position w:val="0"/>
                <w:sz w:val="24"/>
                <w:szCs w:val="24"/>
              </w:rPr>
              <w:t>行政许可准予、变更、延续信息；（2）行政处罚信息；（3）其他依法应当公示的信息</w:t>
            </w:r>
            <w:r>
              <w:rPr>
                <w:rFonts w:hint="eastAsia" w:ascii="宋体" w:hAnsi="宋体" w:eastAsia="宋体" w:cs="宋体"/>
                <w:color w:val="000000"/>
                <w:spacing w:val="0"/>
                <w:w w:val="100"/>
                <w:position w:val="0"/>
                <w:sz w:val="24"/>
                <w:szCs w:val="24"/>
                <w:lang w:eastAsia="zh-CN"/>
              </w:rPr>
              <w:t>。</w:t>
            </w:r>
          </w:p>
          <w:p>
            <w:pPr>
              <w:numPr>
                <w:ilvl w:val="0"/>
                <w:numId w:val="0"/>
              </w:numPr>
              <w:bidi w:val="0"/>
              <w:spacing w:line="240" w:lineRule="auto"/>
              <w:ind w:right="0" w:rightChars="0"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其他政府部门可以通过企业信用信息公示系统，也可以通过其他系统公示企业信息。工商行政管理部门和其他政府部门应当按照国家社会信用信息平台建设的总体要求，实现企业信息的互联共</w:t>
            </w:r>
            <w:r>
              <w:rPr>
                <w:rFonts w:hint="eastAsia" w:ascii="宋体" w:hAnsi="宋体" w:eastAsia="宋体" w:cs="宋体"/>
                <w:color w:val="000000"/>
                <w:spacing w:val="0"/>
                <w:w w:val="100"/>
                <w:position w:val="0"/>
                <w:sz w:val="24"/>
                <w:szCs w:val="24"/>
                <w:u w:val="none"/>
              </w:rPr>
              <w:t>享</w:t>
            </w:r>
            <w:r>
              <w:rPr>
                <w:rFonts w:hint="eastAsia" w:ascii="宋体" w:hAnsi="宋体" w:eastAsia="宋体" w:cs="宋体"/>
                <w:color w:val="000000"/>
                <w:spacing w:val="0"/>
                <w:w w:val="100"/>
                <w:position w:val="0"/>
                <w:sz w:val="24"/>
                <w:szCs w:val="24"/>
                <w:u w:val="none"/>
                <w:lang w:eastAsia="zh-CN"/>
              </w:rPr>
              <w:t>。</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国家发展改革委、交通运输部、工商总局</w:t>
            </w:r>
          </w:p>
        </w:tc>
      </w:tr>
      <w:tr>
        <w:tblPrEx>
          <w:tblCellMar>
            <w:top w:w="0" w:type="dxa"/>
            <w:left w:w="10" w:type="dxa"/>
            <w:bottom w:w="0" w:type="dxa"/>
            <w:right w:w="10" w:type="dxa"/>
          </w:tblCellMar>
        </w:tblPrEx>
        <w:trPr>
          <w:trHeight w:val="4051"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pStyle w:val="30"/>
              <w:keepNext w:val="0"/>
              <w:keepLines w:val="0"/>
              <w:widowControl w:val="0"/>
              <w:shd w:val="clear" w:color="auto" w:fill="auto"/>
              <w:bidi w:val="0"/>
              <w:spacing w:before="0" w:after="0" w:line="240" w:lineRule="auto"/>
              <w:ind w:left="0" w:right="0" w:firstLine="0"/>
              <w:jc w:val="both"/>
              <w:rPr>
                <w:rFonts w:hint="eastAsia" w:ascii="宋体" w:hAnsi="宋体" w:eastAsia="宋体" w:cs="宋体"/>
                <w:sz w:val="24"/>
                <w:szCs w:val="24"/>
              </w:rPr>
            </w:pPr>
            <w:r>
              <w:rPr>
                <w:rFonts w:hint="eastAsia" w:ascii="宋体" w:hAnsi="宋体" w:eastAsia="宋体" w:cs="宋体"/>
                <w:color w:val="000000"/>
                <w:spacing w:val="0"/>
                <w:w w:val="100"/>
                <w:position w:val="0"/>
                <w:sz w:val="24"/>
                <w:szCs w:val="24"/>
              </w:rPr>
              <w:t>26、对失信主体参评文明单位、 道德模范依法予以限制。</w:t>
            </w:r>
          </w:p>
          <w:p>
            <w:pPr>
              <w:bidi w:val="0"/>
              <w:rPr>
                <w:rFonts w:hint="eastAsia" w:ascii="宋体" w:hAnsi="宋体" w:eastAsia="宋体" w:cs="宋体"/>
                <w:color w:val="000000"/>
                <w:spacing w:val="0"/>
                <w:w w:val="100"/>
                <w:position w:val="0"/>
                <w:sz w:val="24"/>
                <w:szCs w:val="24"/>
              </w:rPr>
            </w:pPr>
          </w:p>
        </w:tc>
        <w:tc>
          <w:tcPr>
            <w:tcW w:w="9400" w:type="dxa"/>
            <w:tcBorders>
              <w:top w:val="single" w:color="auto" w:sz="4" w:space="0"/>
              <w:left w:val="single" w:color="auto" w:sz="4" w:space="0"/>
              <w:bottom w:val="single" w:color="auto" w:sz="4" w:space="0"/>
            </w:tcBorders>
            <w:shd w:val="clear" w:color="auto" w:fill="FFFFFF"/>
            <w:vAlign w:val="top"/>
          </w:tcPr>
          <w:p>
            <w:pPr>
              <w:numPr>
                <w:ilvl w:val="0"/>
                <w:numId w:val="17"/>
              </w:numPr>
              <w:bidi w:val="0"/>
              <w:spacing w:line="240" w:lineRule="auto"/>
              <w:ind w:right="0" w:rightChars="0"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《国务院关于促进市场公平竞争维护市场正常秩序的若干意见</w:t>
            </w:r>
            <w:r>
              <w:rPr>
                <w:rFonts w:hint="eastAsia" w:ascii="宋体" w:hAnsi="宋体" w:eastAsia="宋体" w:cs="宋体"/>
                <w:color w:val="000000"/>
                <w:spacing w:val="0"/>
                <w:w w:val="100"/>
                <w:position w:val="0"/>
                <w:sz w:val="24"/>
                <w:szCs w:val="24"/>
                <w:lang w:eastAsia="zh-CN"/>
              </w:rPr>
              <w:t>》</w:t>
            </w:r>
          </w:p>
          <w:p>
            <w:pPr>
              <w:numPr>
                <w:ilvl w:val="0"/>
                <w:numId w:val="5"/>
              </w:numPr>
              <w:bidi w:val="0"/>
              <w:spacing w:line="240" w:lineRule="auto"/>
              <w:ind w:left="0" w:leftChars="0" w:right="0" w:rightChars="0" w:firstLine="480" w:firstLineChars="200"/>
              <w:rPr>
                <w:rFonts w:hint="eastAsia" w:ascii="宋体" w:hAnsi="宋体" w:eastAsia="宋体" w:cs="宋体"/>
                <w:color w:val="auto"/>
                <w:spacing w:val="0"/>
                <w:w w:val="100"/>
                <w:position w:val="0"/>
                <w:sz w:val="24"/>
                <w:szCs w:val="24"/>
                <w:lang w:eastAsia="zh-CN"/>
              </w:rPr>
            </w:pPr>
            <w:r>
              <w:rPr>
                <w:rFonts w:hint="eastAsia" w:ascii="宋体" w:hAnsi="宋体" w:eastAsia="宋体" w:cs="宋体"/>
                <w:color w:val="auto"/>
                <w:spacing w:val="0"/>
                <w:w w:val="100"/>
                <w:position w:val="0"/>
                <w:sz w:val="24"/>
                <w:szCs w:val="24"/>
              </w:rPr>
              <w:t>建立健全守信激励和失信惩戒机制。</w:t>
            </w:r>
            <w:r>
              <w:rPr>
                <w:rFonts w:hint="eastAsia" w:ascii="宋体" w:hAnsi="宋体" w:eastAsia="宋体" w:cs="宋体"/>
                <w:color w:val="auto"/>
                <w:spacing w:val="0"/>
                <w:w w:val="100"/>
                <w:position w:val="0"/>
                <w:sz w:val="24"/>
                <w:szCs w:val="24"/>
                <w:lang w:val="zh-CN" w:eastAsia="zh-CN" w:bidi="zh-CN"/>
              </w:rPr>
              <w:t>…</w:t>
            </w:r>
            <w:r>
              <w:rPr>
                <w:rFonts w:hint="eastAsia" w:ascii="宋体" w:hAnsi="宋体" w:eastAsia="宋体" w:cs="宋体"/>
                <w:color w:val="auto"/>
                <w:spacing w:val="0"/>
                <w:w w:val="100"/>
                <w:position w:val="0"/>
                <w:sz w:val="24"/>
                <w:szCs w:val="24"/>
              </w:rPr>
              <w:t>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r>
              <w:rPr>
                <w:rFonts w:hint="eastAsia" w:ascii="宋体" w:hAnsi="宋体" w:eastAsia="宋体" w:cs="宋体"/>
                <w:color w:val="auto"/>
                <w:spacing w:val="0"/>
                <w:w w:val="100"/>
                <w:position w:val="0"/>
                <w:sz w:val="24"/>
                <w:szCs w:val="24"/>
                <w:lang w:eastAsia="zh-CN"/>
              </w:rPr>
              <w:t>。</w:t>
            </w:r>
          </w:p>
          <w:p>
            <w:pPr>
              <w:numPr>
                <w:ilvl w:val="0"/>
                <w:numId w:val="17"/>
              </w:numPr>
              <w:bidi w:val="0"/>
              <w:spacing w:line="240" w:lineRule="auto"/>
              <w:ind w:left="0" w:leftChars="0" w:right="0" w:rightChars="0" w:firstLine="480" w:firstLineChars="200"/>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rPr>
              <w:t xml:space="preserve">《国务院关于建立完善守信联合激励和失信联合惩戒制度加快推进社会诚信建设的指导意见》 </w:t>
            </w:r>
          </w:p>
          <w:p>
            <w:pPr>
              <w:numPr>
                <w:ilvl w:val="0"/>
                <w:numId w:val="0"/>
              </w:numPr>
              <w:bidi w:val="0"/>
              <w:spacing w:line="240" w:lineRule="auto"/>
              <w:ind w:right="0" w:rightChars="0" w:firstLine="480" w:firstLineChars="200"/>
              <w:rPr>
                <w:rFonts w:hint="eastAsia" w:ascii="宋体" w:hAnsi="宋体" w:eastAsia="宋体" w:cs="宋体"/>
                <w:color w:val="auto"/>
                <w:spacing w:val="0"/>
                <w:w w:val="100"/>
                <w:position w:val="0"/>
                <w:sz w:val="24"/>
                <w:szCs w:val="24"/>
                <w:lang w:eastAsia="zh-CN"/>
              </w:rPr>
            </w:pPr>
            <w:r>
              <w:rPr>
                <w:rFonts w:hint="eastAsia" w:ascii="宋体" w:hAnsi="宋体" w:eastAsia="宋体" w:cs="宋体"/>
                <w:color w:val="000000"/>
                <w:spacing w:val="0"/>
                <w:w w:val="100"/>
                <w:position w:val="0"/>
                <w:sz w:val="24"/>
                <w:szCs w:val="24"/>
              </w:rPr>
              <w:t>（十）依法依规加强对失信行为的行政性约束和惩戒。对严重失信主体，各地区、各有关部</w:t>
            </w:r>
            <w:r>
              <w:rPr>
                <w:rFonts w:hint="eastAsia" w:ascii="宋体" w:hAnsi="宋体" w:eastAsia="宋体" w:cs="宋体"/>
                <w:color w:val="000000"/>
                <w:spacing w:val="0"/>
                <w:w w:val="100"/>
                <w:position w:val="0"/>
                <w:sz w:val="24"/>
                <w:szCs w:val="24"/>
                <w:lang w:eastAsia="zh-CN"/>
              </w:rPr>
              <w:t>门</w:t>
            </w:r>
            <w:r>
              <w:rPr>
                <w:rFonts w:hint="eastAsia" w:ascii="宋体" w:hAnsi="宋体" w:eastAsia="宋体" w:cs="宋体"/>
                <w:color w:val="000000"/>
                <w:spacing w:val="0"/>
                <w:w w:val="100"/>
                <w:position w:val="0"/>
                <w:sz w:val="24"/>
                <w:szCs w:val="24"/>
              </w:rPr>
              <w:t>应将其列为重点监管对象，依法依规釆取行政性约束和惩戒措施</w:t>
            </w:r>
            <w:r>
              <w:rPr>
                <w:rFonts w:hint="eastAsia" w:ascii="宋体" w:hAnsi="宋体" w:eastAsia="宋体" w:cs="宋体"/>
                <w:color w:val="000000"/>
                <w:spacing w:val="0"/>
                <w:w w:val="100"/>
                <w:position w:val="0"/>
                <w:sz w:val="24"/>
                <w:szCs w:val="24"/>
                <w:lang w:val="zh-CN" w:eastAsia="zh-CN" w:bidi="zh-CN"/>
              </w:rPr>
              <w:t>。…及</w:t>
            </w:r>
            <w:r>
              <w:rPr>
                <w:rFonts w:hint="eastAsia" w:ascii="宋体" w:hAnsi="宋体" w:eastAsia="宋体" w:cs="宋体"/>
                <w:color w:val="000000"/>
                <w:spacing w:val="0"/>
                <w:w w:val="100"/>
                <w:position w:val="0"/>
                <w:sz w:val="24"/>
                <w:szCs w:val="24"/>
              </w:rPr>
              <w:t>时撤销严重失信企业及其法定代表人、负责人、高级管理人员和对失信行为负有直接责任的董事、股东等人员的荣誉称号，</w:t>
            </w:r>
            <w:r>
              <w:rPr>
                <w:rFonts w:hint="eastAsia" w:ascii="宋体" w:hAnsi="宋体" w:eastAsia="宋体" w:cs="宋体"/>
                <w:color w:val="000000"/>
                <w:spacing w:val="0"/>
                <w:w w:val="100"/>
                <w:position w:val="0"/>
                <w:sz w:val="24"/>
                <w:szCs w:val="24"/>
                <w:lang w:eastAsia="zh-CN"/>
              </w:rPr>
              <w:t>取消参加评先评优资格。</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r>
              <w:rPr>
                <w:rFonts w:hint="eastAsia"/>
                <w:color w:val="000000"/>
                <w:spacing w:val="0"/>
                <w:w w:val="100"/>
                <w:position w:val="0"/>
                <w:sz w:val="24"/>
                <w:szCs w:val="24"/>
                <w:lang w:eastAsia="zh-CN"/>
              </w:rPr>
              <w:t>中央文明办</w:t>
            </w:r>
          </w:p>
        </w:tc>
      </w:tr>
      <w:tr>
        <w:tblPrEx>
          <w:tblCellMar>
            <w:top w:w="0" w:type="dxa"/>
            <w:left w:w="10" w:type="dxa"/>
            <w:bottom w:w="0" w:type="dxa"/>
            <w:right w:w="10" w:type="dxa"/>
          </w:tblCellMar>
        </w:tblPrEx>
        <w:trPr>
          <w:trHeight w:val="1671"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bidi w:val="0"/>
              <w:rPr>
                <w:rFonts w:hint="eastAsia" w:ascii="宋体" w:hAnsi="宋体" w:eastAsia="宋体" w:cs="宋体"/>
                <w:color w:val="000000"/>
                <w:spacing w:val="0"/>
                <w:w w:val="100"/>
                <w:position w:val="0"/>
                <w:sz w:val="24"/>
                <w:szCs w:val="24"/>
              </w:rPr>
            </w:pPr>
          </w:p>
        </w:tc>
        <w:tc>
          <w:tcPr>
            <w:tcW w:w="9400" w:type="dxa"/>
            <w:tcBorders>
              <w:top w:val="single" w:color="auto" w:sz="4" w:space="0"/>
              <w:left w:val="single" w:color="auto" w:sz="4" w:space="0"/>
              <w:bottom w:val="single" w:color="auto" w:sz="4" w:space="0"/>
            </w:tcBorders>
            <w:shd w:val="clear" w:color="auto" w:fill="FFFFFF"/>
            <w:vAlign w:val="top"/>
          </w:tcPr>
          <w:p>
            <w:pPr>
              <w:numPr>
                <w:ilvl w:val="0"/>
                <w:numId w:val="17"/>
              </w:numPr>
              <w:bidi w:val="0"/>
              <w:spacing w:line="240" w:lineRule="auto"/>
              <w:ind w:left="0" w:leftChars="0" w:right="0" w:rightChars="0"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《企业信息公示暂行条例</w:t>
            </w:r>
            <w:r>
              <w:rPr>
                <w:rFonts w:hint="eastAsia" w:ascii="宋体" w:hAnsi="宋体" w:eastAsia="宋体" w:cs="宋体"/>
                <w:color w:val="000000"/>
                <w:spacing w:val="0"/>
                <w:w w:val="100"/>
                <w:position w:val="0"/>
                <w:sz w:val="24"/>
                <w:szCs w:val="24"/>
                <w:lang w:eastAsia="zh-CN"/>
              </w:rPr>
              <w:t>》</w:t>
            </w:r>
          </w:p>
          <w:p>
            <w:pPr>
              <w:numPr>
                <w:ilvl w:val="0"/>
                <w:numId w:val="0"/>
              </w:numPr>
              <w:bidi w:val="0"/>
              <w:spacing w:line="240" w:lineRule="auto"/>
              <w:ind w:right="0" w:rightChars="0"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第十八条</w:t>
            </w:r>
            <w:r>
              <w:rPr>
                <w:rFonts w:hint="eastAsia" w:ascii="宋体" w:hAnsi="宋体" w:eastAsia="宋体" w:cs="宋体"/>
                <w:color w:val="000000"/>
                <w:spacing w:val="0"/>
                <w:w w:val="100"/>
                <w:position w:val="0"/>
                <w:sz w:val="24"/>
                <w:szCs w:val="24"/>
                <w:lang w:val="en-US" w:eastAsia="zh-CN"/>
              </w:rPr>
              <w:t xml:space="preserve">  </w:t>
            </w:r>
            <w:r>
              <w:rPr>
                <w:rFonts w:hint="eastAsia" w:ascii="宋体" w:hAnsi="宋体" w:eastAsia="宋体" w:cs="宋体"/>
                <w:color w:val="000000"/>
                <w:spacing w:val="0"/>
                <w:w w:val="100"/>
                <w:position w:val="0"/>
                <w:sz w:val="24"/>
                <w:szCs w:val="24"/>
              </w:rPr>
              <w:t>县级以上地方人民政府及其有关部门应当建立健全信用约束机制，在政府釆购、工程招投标、国有土地出让、授予荣誉称号等工作中，将企业信息作为重要考量因素，对被列入经营异常名录或者严重违法企业名单的企业依法予以限制或者禁入</w:t>
            </w:r>
            <w:r>
              <w:rPr>
                <w:rFonts w:hint="eastAsia" w:ascii="宋体" w:hAnsi="宋体" w:eastAsia="宋体" w:cs="宋体"/>
                <w:color w:val="000000"/>
                <w:spacing w:val="0"/>
                <w:w w:val="100"/>
                <w:position w:val="0"/>
                <w:sz w:val="24"/>
                <w:szCs w:val="24"/>
                <w:lang w:eastAsia="zh-CN"/>
              </w:rPr>
              <w:t>。</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p>
        </w:tc>
      </w:tr>
      <w:tr>
        <w:tblPrEx>
          <w:tblCellMar>
            <w:top w:w="0" w:type="dxa"/>
            <w:left w:w="10" w:type="dxa"/>
            <w:bottom w:w="0" w:type="dxa"/>
            <w:right w:w="10" w:type="dxa"/>
          </w:tblCellMar>
        </w:tblPrEx>
        <w:trPr>
          <w:trHeight w:val="2468" w:hRule="atLeast"/>
          <w:jc w:val="center"/>
        </w:trPr>
        <w:tc>
          <w:tcPr>
            <w:tcW w:w="2205" w:type="dxa"/>
            <w:tcBorders>
              <w:top w:val="single" w:color="auto" w:sz="4" w:space="0"/>
              <w:left w:val="single" w:color="auto" w:sz="4" w:space="0"/>
              <w:bottom w:val="single" w:color="auto" w:sz="4" w:space="0"/>
            </w:tcBorders>
            <w:shd w:val="clear" w:color="auto" w:fill="FFFFFF"/>
            <w:vAlign w:val="center"/>
          </w:tcPr>
          <w:p>
            <w:pPr>
              <w:bidi w:val="0"/>
              <w:rPr>
                <w:rFonts w:hint="eastAsia" w:ascii="宋体" w:hAnsi="宋体" w:eastAsia="宋体" w:cs="宋体"/>
                <w:color w:val="000000"/>
                <w:spacing w:val="0"/>
                <w:w w:val="100"/>
                <w:position w:val="0"/>
                <w:sz w:val="24"/>
                <w:szCs w:val="24"/>
              </w:rPr>
            </w:pPr>
            <w:r>
              <w:rPr>
                <w:rFonts w:hint="eastAsia" w:ascii="宋体" w:hAnsi="宋体" w:eastAsia="宋体" w:cs="宋体"/>
                <w:color w:val="000000"/>
                <w:spacing w:val="0"/>
                <w:w w:val="100"/>
                <w:position w:val="0"/>
                <w:sz w:val="24"/>
                <w:szCs w:val="24"/>
                <w:lang w:val="zh-CN" w:eastAsia="zh-CN" w:bidi="zh-CN"/>
              </w:rPr>
              <w:t>27、</w:t>
            </w:r>
            <w:r>
              <w:rPr>
                <w:rFonts w:hint="eastAsia" w:ascii="宋体" w:hAnsi="宋体" w:eastAsia="宋体" w:cs="宋体"/>
                <w:color w:val="000000"/>
                <w:spacing w:val="0"/>
                <w:w w:val="100"/>
                <w:position w:val="0"/>
                <w:sz w:val="24"/>
                <w:szCs w:val="24"/>
              </w:rPr>
              <w:t>行业协会商会对会员失信行为进行警告、 通报批评、公开 谴责等。</w:t>
            </w:r>
          </w:p>
        </w:tc>
        <w:tc>
          <w:tcPr>
            <w:tcW w:w="9400" w:type="dxa"/>
            <w:tcBorders>
              <w:top w:val="single" w:color="auto" w:sz="4" w:space="0"/>
              <w:left w:val="single" w:color="auto" w:sz="4" w:space="0"/>
              <w:bottom w:val="single" w:color="auto" w:sz="4" w:space="0"/>
            </w:tcBorders>
            <w:shd w:val="clear" w:color="auto" w:fill="FFFFFF"/>
            <w:vAlign w:val="top"/>
          </w:tcPr>
          <w:p>
            <w:pPr>
              <w:numPr>
                <w:ilvl w:val="0"/>
                <w:numId w:val="18"/>
              </w:numPr>
              <w:bidi w:val="0"/>
              <w:spacing w:line="240" w:lineRule="auto"/>
              <w:ind w:right="0" w:rightChars="0"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000000"/>
                <w:spacing w:val="0"/>
                <w:w w:val="100"/>
                <w:position w:val="0"/>
                <w:sz w:val="24"/>
                <w:szCs w:val="24"/>
              </w:rPr>
              <w:t>《国务院关于建立完善守信联合激励和失信联合惩戒制度加快推进社会诚信建设的指导意见</w:t>
            </w:r>
            <w:r>
              <w:rPr>
                <w:rFonts w:hint="eastAsia" w:ascii="宋体" w:hAnsi="宋体" w:eastAsia="宋体" w:cs="宋体"/>
                <w:color w:val="000000"/>
                <w:spacing w:val="0"/>
                <w:w w:val="100"/>
                <w:position w:val="0"/>
                <w:sz w:val="24"/>
                <w:szCs w:val="24"/>
                <w:lang w:eastAsia="zh-CN"/>
              </w:rPr>
              <w:t>》</w:t>
            </w:r>
          </w:p>
          <w:p>
            <w:pPr>
              <w:numPr>
                <w:ilvl w:val="0"/>
                <w:numId w:val="0"/>
              </w:numPr>
              <w:bidi w:val="0"/>
              <w:spacing w:line="240" w:lineRule="auto"/>
              <w:ind w:right="0" w:rightChars="0" w:firstLine="480" w:firstLineChars="200"/>
              <w:rPr>
                <w:rFonts w:hint="eastAsia" w:ascii="宋体" w:hAnsi="宋体" w:eastAsia="宋体" w:cs="宋体"/>
                <w:color w:val="000000"/>
                <w:spacing w:val="0"/>
                <w:w w:val="100"/>
                <w:position w:val="0"/>
                <w:sz w:val="24"/>
                <w:szCs w:val="24"/>
                <w:lang w:eastAsia="zh-CN"/>
              </w:rPr>
            </w:pPr>
            <w:r>
              <w:rPr>
                <w:rFonts w:hint="eastAsia" w:ascii="宋体" w:hAnsi="宋体" w:eastAsia="宋体" w:cs="宋体"/>
                <w:color w:val="auto"/>
                <w:spacing w:val="0"/>
                <w:w w:val="100"/>
                <w:position w:val="0"/>
                <w:sz w:val="24"/>
                <w:szCs w:val="24"/>
              </w:rPr>
              <w:t>（十二）加强对失信行为的行业性约束和惩戒。建立健全行业自律公约和职业道德准则，推动行业信用建设。引导行业协会商会完善行业内部信用信息采集、共享机制，将产重失信行为记入会员信用档案。鼓励行业协会商会与有资质的第三方信用服务机构合作，开展会员企业信用等级评价。 支持行业协会商会按照行业标准、行规、行约等，视情节轻重对失信会员实行警告、行业内通报批评、公开谴责、不予接纳、劝退等惩戒措施</w:t>
            </w:r>
            <w:r>
              <w:rPr>
                <w:rFonts w:hint="eastAsia" w:ascii="宋体" w:hAnsi="宋体" w:eastAsia="宋体" w:cs="宋体"/>
                <w:color w:val="auto"/>
                <w:spacing w:val="0"/>
                <w:w w:val="100"/>
                <w:position w:val="0"/>
                <w:sz w:val="24"/>
                <w:szCs w:val="24"/>
                <w:lang w:eastAsia="zh-CN"/>
              </w:rPr>
              <w:t>。</w:t>
            </w:r>
          </w:p>
        </w:tc>
        <w:tc>
          <w:tcPr>
            <w:tcW w:w="1893"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2"/>
              <w:keepNext w:val="0"/>
              <w:keepLines w:val="0"/>
              <w:widowControl w:val="0"/>
              <w:shd w:val="clear" w:color="auto" w:fill="auto"/>
              <w:bidi w:val="0"/>
              <w:spacing w:before="0" w:after="0" w:line="240" w:lineRule="auto"/>
              <w:ind w:left="0" w:right="0" w:firstLine="0"/>
              <w:jc w:val="left"/>
              <w:rPr>
                <w:rFonts w:hint="eastAsia"/>
                <w:color w:val="000000"/>
                <w:spacing w:val="0"/>
                <w:w w:val="100"/>
                <w:position w:val="0"/>
                <w:sz w:val="24"/>
                <w:szCs w:val="24"/>
                <w:lang w:eastAsia="zh-CN"/>
              </w:rPr>
            </w:pPr>
            <w:r>
              <w:rPr>
                <w:color w:val="000000"/>
                <w:spacing w:val="0"/>
                <w:w w:val="100"/>
                <w:position w:val="0"/>
                <w:sz w:val="24"/>
                <w:szCs w:val="24"/>
              </w:rPr>
              <w:t>运输物流行业相关协会、商会</w:t>
            </w:r>
          </w:p>
        </w:tc>
      </w:tr>
    </w:tbl>
    <w:p>
      <w:pPr>
        <w:tabs>
          <w:tab w:val="left" w:pos="1027"/>
        </w:tabs>
        <w:bidi w:val="0"/>
        <w:jc w:val="left"/>
        <w:rPr>
          <w:rFonts w:hint="default" w:eastAsia="宋体"/>
          <w:lang w:val="en-US" w:eastAsia="zh-CN"/>
        </w:rPr>
      </w:pPr>
    </w:p>
    <w:p>
      <w:pPr>
        <w:tabs>
          <w:tab w:val="left" w:pos="1027"/>
        </w:tabs>
        <w:bidi w:val="0"/>
        <w:jc w:val="left"/>
        <w:rPr>
          <w:rFonts w:hint="default" w:eastAsia="宋体"/>
          <w:lang w:val="en-US" w:eastAsia="zh-CN"/>
        </w:rPr>
      </w:pPr>
    </w:p>
    <w:p>
      <w:pPr>
        <w:tabs>
          <w:tab w:val="left" w:pos="1027"/>
        </w:tabs>
        <w:bidi w:val="0"/>
        <w:jc w:val="left"/>
        <w:rPr>
          <w:rFonts w:hint="default" w:eastAsia="宋体"/>
          <w:lang w:val="en-US" w:eastAsia="zh-CN"/>
        </w:rPr>
      </w:pPr>
    </w:p>
    <w:p>
      <w:pPr>
        <w:tabs>
          <w:tab w:val="left" w:pos="1027"/>
        </w:tabs>
        <w:bidi w:val="0"/>
        <w:jc w:val="left"/>
        <w:rPr>
          <w:rFonts w:hint="default" w:eastAsia="宋体"/>
          <w:lang w:val="en-US" w:eastAsia="zh-CN"/>
        </w:rPr>
      </w:pPr>
    </w:p>
    <w:p>
      <w:pPr>
        <w:tabs>
          <w:tab w:val="left" w:pos="1027"/>
        </w:tabs>
        <w:bidi w:val="0"/>
        <w:jc w:val="left"/>
        <w:rPr>
          <w:rFonts w:hint="default" w:eastAsia="宋体"/>
          <w:lang w:val="en-US" w:eastAsia="zh-CN"/>
        </w:rPr>
      </w:pPr>
    </w:p>
    <w:p>
      <w:pPr>
        <w:tabs>
          <w:tab w:val="left" w:pos="1027"/>
        </w:tabs>
        <w:bidi w:val="0"/>
        <w:jc w:val="left"/>
        <w:rPr>
          <w:rFonts w:hint="default" w:eastAsia="宋体"/>
          <w:lang w:val="en-US" w:eastAsia="zh-CN"/>
        </w:rPr>
      </w:pPr>
    </w:p>
    <w:p>
      <w:pPr>
        <w:tabs>
          <w:tab w:val="left" w:pos="1027"/>
        </w:tabs>
        <w:bidi w:val="0"/>
        <w:jc w:val="left"/>
        <w:rPr>
          <w:rFonts w:hint="default" w:eastAsia="宋体"/>
          <w:lang w:val="en-US" w:eastAsia="zh-CN"/>
        </w:rPr>
        <w:sectPr>
          <w:footerReference r:id="rId8" w:type="default"/>
          <w:footerReference r:id="rId9" w:type="even"/>
          <w:footnotePr>
            <w:numFmt w:val="decimal"/>
          </w:footnotePr>
          <w:type w:val="continuous"/>
          <w:pgSz w:w="16783" w:h="11850" w:orient="landscape"/>
          <w:pgMar w:top="1247" w:right="1417" w:bottom="1247" w:left="1417" w:header="0" w:footer="3" w:gutter="0"/>
          <w:cols w:space="720" w:num="1"/>
          <w:rtlGutter w:val="0"/>
          <w:docGrid w:linePitch="360" w:charSpace="0"/>
        </w:sectPr>
      </w:pPr>
    </w:p>
    <w:p>
      <w:pPr>
        <w:pStyle w:val="18"/>
        <w:keepNext w:val="0"/>
        <w:keepLines w:val="0"/>
        <w:widowControl w:val="0"/>
        <w:shd w:val="clear" w:color="auto" w:fill="auto"/>
        <w:bidi w:val="0"/>
        <w:spacing w:before="0" w:after="760" w:line="240" w:lineRule="auto"/>
        <w:ind w:left="0" w:right="0" w:firstLine="0"/>
        <w:jc w:val="left"/>
      </w:pPr>
    </w:p>
    <w:sectPr>
      <w:footerReference r:id="rId10" w:type="default"/>
      <w:footerReference r:id="rId11" w:type="even"/>
      <w:footnotePr>
        <w:numFmt w:val="decimal"/>
      </w:footnotePr>
      <w:pgSz w:w="31680" w:h="31680" w:orient="landscape"/>
      <w:pgMar w:top="0" w:right="3445" w:bottom="460" w:left="3875"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9777730</wp:posOffset>
              </wp:positionH>
              <wp:positionV relativeFrom="page">
                <wp:posOffset>21331555</wp:posOffset>
              </wp:positionV>
              <wp:extent cx="177800" cy="266700"/>
              <wp:effectExtent l="0" t="0" r="0" b="0"/>
              <wp:wrapNone/>
              <wp:docPr id="62" name="Shape 62"/>
              <wp:cNvGraphicFramePr/>
              <a:graphic xmlns:a="http://schemas.openxmlformats.org/drawingml/2006/main">
                <a:graphicData uri="http://schemas.microsoft.com/office/word/2010/wordprocessingShape">
                  <wps:wsp>
                    <wps:cNvSpPr txBox="1"/>
                    <wps:spPr>
                      <a:xfrm>
                        <a:off x="0" y="0"/>
                        <a:ext cx="177800" cy="266700"/>
                      </a:xfrm>
                      <a:prstGeom prst="rect">
                        <a:avLst/>
                      </a:prstGeom>
                      <a:noFill/>
                    </wps:spPr>
                    <wps:txbx>
                      <w:txbxContent>
                        <w:p>
                          <w:pPr>
                            <w:pStyle w:val="2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6</w:t>
                          </w:r>
                        </w:p>
                      </w:txbxContent>
                    </wps:txbx>
                    <wps:bodyPr wrap="none" lIns="0" tIns="0" rIns="0" bIns="0">
                      <a:spAutoFit/>
                    </wps:bodyPr>
                  </wps:wsp>
                </a:graphicData>
              </a:graphic>
            </wp:anchor>
          </w:drawing>
        </mc:Choice>
        <mc:Fallback>
          <w:pict>
            <v:shape id="Shape 62" o:spid="_x0000_s1026" o:spt="202" type="#_x0000_t202" style="position:absolute;left:0pt;margin-left:769.9pt;margin-top:1679.65pt;height:21pt;width:14pt;mso-position-horizontal-relative:page;mso-position-vertical-relative:page;mso-wrap-style:none;z-index:-440400896;mso-width-relative:page;mso-height-relative:page;" filled="f" stroked="f" coordsize="21600,21600" o:gfxdata="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b6h8PtoAAAAPAQAADwAAAAAAAAABACAAAAAiAAAAZHJzL2Rv&#10;d25yZXYueG1sUEsBAhQAFAAAAAgAh07iQO7U+q+NAQAAIwMAAA4AAAAAAAAAAQAgAAAAKQEAAGRy&#10;cy9lMm9Eb2MueG1sUEsFBgAAAAAGAAYAWQEAACgFAAAAAA==&#10;">
              <v:fill on="f" focussize="0,0"/>
              <v:stroke on="f"/>
              <v:imagedata o:title=""/>
              <o:lock v:ext="edit" aspectratio="f"/>
              <v:textbox inset="0mm,0mm,0mm,0mm" style="mso-fit-shape-to-text:t;">
                <w:txbxContent>
                  <w:p>
                    <w:pPr>
                      <w:pStyle w:val="2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6</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9777730</wp:posOffset>
              </wp:positionH>
              <wp:positionV relativeFrom="page">
                <wp:posOffset>21331555</wp:posOffset>
              </wp:positionV>
              <wp:extent cx="177800" cy="266700"/>
              <wp:effectExtent l="0" t="0" r="0" b="0"/>
              <wp:wrapNone/>
              <wp:docPr id="64" name="Shape 64"/>
              <wp:cNvGraphicFramePr/>
              <a:graphic xmlns:a="http://schemas.openxmlformats.org/drawingml/2006/main">
                <a:graphicData uri="http://schemas.microsoft.com/office/word/2010/wordprocessingShape">
                  <wps:wsp>
                    <wps:cNvSpPr txBox="1"/>
                    <wps:spPr>
                      <a:xfrm>
                        <a:off x="0" y="0"/>
                        <a:ext cx="177800" cy="266700"/>
                      </a:xfrm>
                      <a:prstGeom prst="rect">
                        <a:avLst/>
                      </a:prstGeom>
                      <a:noFill/>
                    </wps:spPr>
                    <wps:txbx>
                      <w:txbxContent>
                        <w:p>
                          <w:pPr>
                            <w:pStyle w:val="2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6</w:t>
                          </w:r>
                        </w:p>
                      </w:txbxContent>
                    </wps:txbx>
                    <wps:bodyPr wrap="none" lIns="0" tIns="0" rIns="0" bIns="0">
                      <a:spAutoFit/>
                    </wps:bodyPr>
                  </wps:wsp>
                </a:graphicData>
              </a:graphic>
            </wp:anchor>
          </w:drawing>
        </mc:Choice>
        <mc:Fallback>
          <w:pict>
            <v:shape id="Shape 64" o:spid="_x0000_s1026" o:spt="202" type="#_x0000_t202" style="position:absolute;left:0pt;margin-left:769.9pt;margin-top:1679.65pt;height:21pt;width:14pt;mso-position-horizontal-relative:page;mso-position-vertical-relative:page;mso-wrap-style:none;z-index:-440400896;mso-width-relative:page;mso-height-relative:page;" filled="f" stroked="f" coordsize="21600,21600" o:gfxdata="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b6h8PtoAAAAPAQAADwAAAAAAAAABACAAAAAiAAAAZHJzL2Rv&#10;d25yZXYueG1sUEsBAhQAFAAAAAgAh07iQK9RxqWNAQAAIwMAAA4AAAAAAAAAAQAgAAAAKQEAAGRy&#10;cy9lMm9Eb2MueG1sUEsFBgAAAAAGAAYAWQEAACgFAAAAAA==&#10;">
              <v:fill on="f" focussize="0,0"/>
              <v:stroke on="f"/>
              <v:imagedata o:title=""/>
              <o:lock v:ext="edit" aspectratio="f"/>
              <v:textbox inset="0mm,0mm,0mm,0mm" style="mso-fit-shape-to-text:t;">
                <w:txbxContent>
                  <w:p>
                    <w:pPr>
                      <w:pStyle w:val="2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6</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10146030</wp:posOffset>
              </wp:positionH>
              <wp:positionV relativeFrom="page">
                <wp:posOffset>21509355</wp:posOffset>
              </wp:positionV>
              <wp:extent cx="152400" cy="292100"/>
              <wp:effectExtent l="0" t="0" r="0" b="0"/>
              <wp:wrapNone/>
              <wp:docPr id="66" name="Shape 66"/>
              <wp:cNvGraphicFramePr/>
              <a:graphic xmlns:a="http://schemas.openxmlformats.org/drawingml/2006/main">
                <a:graphicData uri="http://schemas.microsoft.com/office/word/2010/wordprocessingShape">
                  <wps:wsp>
                    <wps:cNvSpPr txBox="1"/>
                    <wps:spPr>
                      <a:xfrm>
                        <a:off x="0" y="0"/>
                        <a:ext cx="152400" cy="292100"/>
                      </a:xfrm>
                      <a:prstGeom prst="rect">
                        <a:avLst/>
                      </a:prstGeom>
                      <a:noFill/>
                    </wps:spPr>
                    <wps:txbx>
                      <w:txbxContent>
                        <w:p>
                          <w:pPr>
                            <w:pStyle w:val="2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5</w:t>
                          </w:r>
                        </w:p>
                      </w:txbxContent>
                    </wps:txbx>
                    <wps:bodyPr wrap="none" lIns="0" tIns="0" rIns="0" bIns="0">
                      <a:spAutoFit/>
                    </wps:bodyPr>
                  </wps:wsp>
                </a:graphicData>
              </a:graphic>
            </wp:anchor>
          </w:drawing>
        </mc:Choice>
        <mc:Fallback>
          <w:pict>
            <v:shape id="Shape 66" o:spid="_x0000_s1026" o:spt="202" type="#_x0000_t202" style="position:absolute;left:0pt;margin-left:798.9pt;margin-top:1693.65pt;height:23pt;width:12pt;mso-position-horizontal-relative:page;mso-position-vertical-relative:page;mso-wrap-style:none;z-index:-440400896;mso-width-relative:page;mso-height-relative:page;" filled="f" stroked="f" coordsize="21600,21600" o:gfxdata="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f/xP02QAAAA8BAAAPAAAAAAAAAAEAIAAAACIAAABkcnMv&#10;ZG93bnJldi54bWxQSwECFAAUAAAACACHTuJAvYEHAJABAAAjAwAADgAAAAAAAAABACAAAAAoAQAA&#10;ZHJzL2Uyb0RvYy54bWxQSwUGAAAAAAYABgBZAQAAKgUAAAAA&#10;">
              <v:fill on="f" focussize="0,0"/>
              <v:stroke on="f"/>
              <v:imagedata o:title=""/>
              <o:lock v:ext="edit" aspectratio="f"/>
              <v:textbox inset="0mm,0mm,0mm,0mm" style="mso-fit-shape-to-text:t;">
                <w:txbxContent>
                  <w:p>
                    <w:pPr>
                      <w:pStyle w:val="2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5</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10194290</wp:posOffset>
              </wp:positionH>
              <wp:positionV relativeFrom="page">
                <wp:posOffset>18154650</wp:posOffset>
              </wp:positionV>
              <wp:extent cx="76200" cy="279400"/>
              <wp:effectExtent l="0" t="0" r="0" b="0"/>
              <wp:wrapNone/>
              <wp:docPr id="68" name="Shape 68"/>
              <wp:cNvGraphicFramePr/>
              <a:graphic xmlns:a="http://schemas.openxmlformats.org/drawingml/2006/main">
                <a:graphicData uri="http://schemas.microsoft.com/office/word/2010/wordprocessingShape">
                  <wps:wsp>
                    <wps:cNvSpPr txBox="1"/>
                    <wps:spPr>
                      <a:xfrm>
                        <a:off x="0" y="0"/>
                        <a:ext cx="76200" cy="279400"/>
                      </a:xfrm>
                      <a:prstGeom prst="rect">
                        <a:avLst/>
                      </a:prstGeom>
                      <a:noFill/>
                    </wps:spPr>
                    <wps:txbx>
                      <w:txbxContent>
                        <w:p>
                          <w:pPr>
                            <w:pStyle w:val="2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68" o:spid="_x0000_s1026" o:spt="202" type="#_x0000_t202" style="position:absolute;left:0pt;margin-left:802.7pt;margin-top:1429.5pt;height:22pt;width:6pt;mso-position-horizontal-relative:page;mso-position-vertical-relative:page;mso-wrap-style:none;z-index:-440400896;mso-width-relative:page;mso-height-relative:page;" filled="f" stroked="f" coordsize="21600,21600" o:gfxdata="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Bp55crZAAAADwEAAA8AAAAAAAAAAQAgAAAAIgAAAGRycy9kb3du&#10;cmV2LnhtbFBLAQIUABQAAAAIAIdO4kCyanNojAEAACIDAAAOAAAAAAAAAAEAIAAAACgBAABkcnMv&#10;ZTJvRG9jLnhtbFBLBQYAAAAABgAGAFkBAAAmBQAAAAA=&#10;">
              <v:fill on="f" focussize="0,0"/>
              <v:stroke on="f"/>
              <v:imagedata o:title=""/>
              <o:lock v:ext="edit" aspectratio="f"/>
              <v:textbox inset="0mm,0mm,0mm,0mm" style="mso-fit-shape-to-text:t;">
                <w:txbxContent>
                  <w:p>
                    <w:pPr>
                      <w:pStyle w:val="2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10194290</wp:posOffset>
              </wp:positionH>
              <wp:positionV relativeFrom="page">
                <wp:posOffset>18154650</wp:posOffset>
              </wp:positionV>
              <wp:extent cx="76200" cy="279400"/>
              <wp:effectExtent l="0" t="0" r="0" b="0"/>
              <wp:wrapNone/>
              <wp:docPr id="70" name="Shape 70"/>
              <wp:cNvGraphicFramePr/>
              <a:graphic xmlns:a="http://schemas.openxmlformats.org/drawingml/2006/main">
                <a:graphicData uri="http://schemas.microsoft.com/office/word/2010/wordprocessingShape">
                  <wps:wsp>
                    <wps:cNvSpPr txBox="1"/>
                    <wps:spPr>
                      <a:xfrm>
                        <a:off x="0" y="0"/>
                        <a:ext cx="76200" cy="279400"/>
                      </a:xfrm>
                      <a:prstGeom prst="rect">
                        <a:avLst/>
                      </a:prstGeom>
                      <a:noFill/>
                    </wps:spPr>
                    <wps:txbx>
                      <w:txbxContent>
                        <w:p>
                          <w:pPr>
                            <w:pStyle w:val="2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wps:txbx>
                    <wps:bodyPr wrap="none" lIns="0" tIns="0" rIns="0" bIns="0">
                      <a:spAutoFit/>
                    </wps:bodyPr>
                  </wps:wsp>
                </a:graphicData>
              </a:graphic>
            </wp:anchor>
          </w:drawing>
        </mc:Choice>
        <mc:Fallback>
          <w:pict>
            <v:shape id="Shape 70" o:spid="_x0000_s1026" o:spt="202" type="#_x0000_t202" style="position:absolute;left:0pt;margin-left:802.7pt;margin-top:1429.5pt;height:22pt;width:6pt;mso-position-horizontal-relative:page;mso-position-vertical-relative:page;mso-wrap-style:none;z-index:-440400896;mso-width-relative:page;mso-height-relative:page;" filled="f" stroked="f" coordsize="21600,21600" o:gfxdata="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Bp55crZAAAADwEAAA8AAAAAAAAAAQAgAAAAIgAAAGRycy9kb3du&#10;cmV2LnhtbFBLAQIUABQAAAAIAIdO4kDao3VgjAEAACIDAAAOAAAAAAAAAAEAIAAAACgBAABkcnMv&#10;ZTJvRG9jLnhtbFBLBQYAAAAABgAGAFkBAAAmBQAAAAA=&#10;">
              <v:fill on="f" focussize="0,0"/>
              <v:stroke on="f"/>
              <v:imagedata o:title=""/>
              <o:lock v:ext="edit" aspectratio="f"/>
              <v:textbox inset="0mm,0mm,0mm,0mm" style="mso-fit-shape-to-text:t;">
                <w:txbxContent>
                  <w:p>
                    <w:pPr>
                      <w:pStyle w:val="26"/>
                      <w:keepNext w:val="0"/>
                      <w:keepLines w:val="0"/>
                      <w:widowControl w:val="0"/>
                      <w:shd w:val="clear" w:color="auto" w:fill="auto"/>
                      <w:bidi w:val="0"/>
                      <w:spacing w:before="0" w:after="0" w:line="240" w:lineRule="auto"/>
                      <w:ind w:left="0" w:right="0" w:firstLine="0"/>
                      <w:jc w:val="left"/>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10055225</wp:posOffset>
              </wp:positionH>
              <wp:positionV relativeFrom="page">
                <wp:posOffset>21689695</wp:posOffset>
              </wp:positionV>
              <wp:extent cx="152400" cy="292100"/>
              <wp:effectExtent l="0" t="0" r="0" b="0"/>
              <wp:wrapNone/>
              <wp:docPr id="236" name="Shape 236"/>
              <wp:cNvGraphicFramePr/>
              <a:graphic xmlns:a="http://schemas.openxmlformats.org/drawingml/2006/main">
                <a:graphicData uri="http://schemas.microsoft.com/office/word/2010/wordprocessingShape">
                  <wps:wsp>
                    <wps:cNvSpPr txBox="1"/>
                    <wps:spPr>
                      <a:xfrm>
                        <a:off x="0" y="0"/>
                        <a:ext cx="152400" cy="292100"/>
                      </a:xfrm>
                      <a:prstGeom prst="rect">
                        <a:avLst/>
                      </a:prstGeom>
                      <a:noFill/>
                    </wps:spPr>
                    <wps:txbx>
                      <w:txbxContent>
                        <w:p>
                          <w:pPr>
                            <w:pStyle w:val="26"/>
                            <w:keepNext w:val="0"/>
                            <w:keepLines w:val="0"/>
                            <w:widowControl w:val="0"/>
                            <w:shd w:val="clear" w:color="auto" w:fill="auto"/>
                            <w:bidi w:val="0"/>
                            <w:spacing w:before="0" w:after="0" w:line="240" w:lineRule="auto"/>
                            <w:ind w:left="0" w:right="0" w:firstLine="0"/>
                            <w:jc w:val="left"/>
                            <w:rPr>
                              <w:sz w:val="62"/>
                              <w:szCs w:val="62"/>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62"/>
                              <w:szCs w:val="62"/>
                            </w:rPr>
                            <w:t>#</w:t>
                          </w:r>
                          <w:r>
                            <w:rPr>
                              <w:rFonts w:ascii="Times New Roman" w:hAnsi="Times New Roman" w:eastAsia="Times New Roman" w:cs="Times New Roman"/>
                              <w:color w:val="000000"/>
                              <w:spacing w:val="0"/>
                              <w:w w:val="100"/>
                              <w:position w:val="0"/>
                              <w:sz w:val="62"/>
                              <w:szCs w:val="62"/>
                            </w:rPr>
                            <w:fldChar w:fldCharType="end"/>
                          </w:r>
                        </w:p>
                      </w:txbxContent>
                    </wps:txbx>
                    <wps:bodyPr wrap="none" lIns="0" tIns="0" rIns="0" bIns="0">
                      <a:spAutoFit/>
                    </wps:bodyPr>
                  </wps:wsp>
                </a:graphicData>
              </a:graphic>
            </wp:anchor>
          </w:drawing>
        </mc:Choice>
        <mc:Fallback>
          <w:pict>
            <v:shape id="Shape 236" o:spid="_x0000_s1026" o:spt="202" type="#_x0000_t202" style="position:absolute;left:0pt;margin-left:791.75pt;margin-top:1707.85pt;height:23pt;width:12pt;mso-position-horizontal-relative:page;mso-position-vertical-relative:page;mso-wrap-style:none;z-index:-440400896;mso-width-relative:page;mso-height-relative:page;" filled="f" stroked="f" coordsize="21600,21600" o:gfxdata="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IGAft2QAAAA8BAAAPAAAAAAAAAAEAIAAAACIAAABkcnMv&#10;ZG93bnJldi54bWxQSwECFAAUAAAACACHTuJATI3OIZABAAAlAwAADgAAAAAAAAABACAAAAAoAQAA&#10;ZHJzL2Uyb0RvYy54bWxQSwUGAAAAAAYABgBZAQAAKgUAAAAA&#10;">
              <v:fill on="f" focussize="0,0"/>
              <v:stroke on="f"/>
              <v:imagedata o:title=""/>
              <o:lock v:ext="edit" aspectratio="f"/>
              <v:textbox inset="0mm,0mm,0mm,0mm" style="mso-fit-shape-to-text:t;">
                <w:txbxContent>
                  <w:p>
                    <w:pPr>
                      <w:pStyle w:val="26"/>
                      <w:keepNext w:val="0"/>
                      <w:keepLines w:val="0"/>
                      <w:widowControl w:val="0"/>
                      <w:shd w:val="clear" w:color="auto" w:fill="auto"/>
                      <w:bidi w:val="0"/>
                      <w:spacing w:before="0" w:after="0" w:line="240" w:lineRule="auto"/>
                      <w:ind w:left="0" w:right="0" w:firstLine="0"/>
                      <w:jc w:val="left"/>
                      <w:rPr>
                        <w:sz w:val="62"/>
                        <w:szCs w:val="62"/>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62"/>
                        <w:szCs w:val="62"/>
                      </w:rPr>
                      <w:t>#</w:t>
                    </w:r>
                    <w:r>
                      <w:rPr>
                        <w:rFonts w:ascii="Times New Roman" w:hAnsi="Times New Roman" w:eastAsia="Times New Roman" w:cs="Times New Roman"/>
                        <w:color w:val="000000"/>
                        <w:spacing w:val="0"/>
                        <w:w w:val="100"/>
                        <w:position w:val="0"/>
                        <w:sz w:val="62"/>
                        <w:szCs w:val="62"/>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9906000</wp:posOffset>
              </wp:positionH>
              <wp:positionV relativeFrom="page">
                <wp:posOffset>21540470</wp:posOffset>
              </wp:positionV>
              <wp:extent cx="165100" cy="292100"/>
              <wp:effectExtent l="0" t="0" r="0" b="0"/>
              <wp:wrapNone/>
              <wp:docPr id="238" name="Shape 238"/>
              <wp:cNvGraphicFramePr/>
              <a:graphic xmlns:a="http://schemas.openxmlformats.org/drawingml/2006/main">
                <a:graphicData uri="http://schemas.microsoft.com/office/word/2010/wordprocessingShape">
                  <wps:wsp>
                    <wps:cNvSpPr txBox="1"/>
                    <wps:spPr>
                      <a:xfrm>
                        <a:off x="0" y="0"/>
                        <a:ext cx="165100" cy="292100"/>
                      </a:xfrm>
                      <a:prstGeom prst="rect">
                        <a:avLst/>
                      </a:prstGeom>
                      <a:noFill/>
                    </wps:spPr>
                    <wps:txbx>
                      <w:txbxContent>
                        <w:p>
                          <w:pPr>
                            <w:pStyle w:val="10"/>
                            <w:keepNext w:val="0"/>
                            <w:keepLines w:val="0"/>
                            <w:widowControl w:val="0"/>
                            <w:shd w:val="clear" w:color="auto" w:fill="auto"/>
                            <w:bidi w:val="0"/>
                            <w:spacing w:before="0" w:after="0" w:line="240" w:lineRule="auto"/>
                            <w:ind w:left="0" w:right="0" w:firstLine="0"/>
                            <w:jc w:val="left"/>
                            <w:rPr>
                              <w:sz w:val="68"/>
                              <w:szCs w:val="6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68"/>
                              <w:szCs w:val="68"/>
                            </w:rPr>
                            <w:t>#</w:t>
                          </w:r>
                          <w:r>
                            <w:rPr>
                              <w:rFonts w:ascii="Times New Roman" w:hAnsi="Times New Roman" w:eastAsia="Times New Roman" w:cs="Times New Roman"/>
                              <w:color w:val="000000"/>
                              <w:spacing w:val="0"/>
                              <w:w w:val="100"/>
                              <w:position w:val="0"/>
                              <w:sz w:val="68"/>
                              <w:szCs w:val="68"/>
                            </w:rPr>
                            <w:fldChar w:fldCharType="end"/>
                          </w:r>
                        </w:p>
                      </w:txbxContent>
                    </wps:txbx>
                    <wps:bodyPr wrap="none" lIns="0" tIns="0" rIns="0" bIns="0">
                      <a:spAutoFit/>
                    </wps:bodyPr>
                  </wps:wsp>
                </a:graphicData>
              </a:graphic>
            </wp:anchor>
          </w:drawing>
        </mc:Choice>
        <mc:Fallback>
          <w:pict>
            <v:shape id="Shape 238" o:spid="_x0000_s1026" o:spt="202" type="#_x0000_t202" style="position:absolute;left:0pt;margin-left:780pt;margin-top:1696.1pt;height:23pt;width:13pt;mso-position-horizontal-relative:page;mso-position-vertical-relative:page;mso-wrap-style:none;z-index:-440400896;mso-width-relative:page;mso-height-relative:page;" filled="f" stroked="f" coordsize="21600,21600" o:gfxdata="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CMIjIH2QAAAA8BAAAPAAAAAAAAAAEAIAAAACIAAABkcnMvZG93&#10;bnJldi54bWxQSwECFAAUAAAACACHTuJAJa51i40BAAAlAwAADgAAAAAAAAABACAAAAAoAQAAZHJz&#10;L2Uyb0RvYy54bWxQSwUGAAAAAAYABgBZAQAAJwUAAAAA&#10;">
              <v:fill on="f" focussize="0,0"/>
              <v:stroke on="f"/>
              <v:imagedata o:title=""/>
              <o:lock v:ext="edit" aspectratio="f"/>
              <v:textbox inset="0mm,0mm,0mm,0mm" style="mso-fit-shape-to-text:t;">
                <w:txbxContent>
                  <w:p>
                    <w:pPr>
                      <w:pStyle w:val="10"/>
                      <w:keepNext w:val="0"/>
                      <w:keepLines w:val="0"/>
                      <w:widowControl w:val="0"/>
                      <w:shd w:val="clear" w:color="auto" w:fill="auto"/>
                      <w:bidi w:val="0"/>
                      <w:spacing w:before="0" w:after="0" w:line="240" w:lineRule="auto"/>
                      <w:ind w:left="0" w:right="0" w:firstLine="0"/>
                      <w:jc w:val="left"/>
                      <w:rPr>
                        <w:sz w:val="68"/>
                        <w:szCs w:val="68"/>
                      </w:rPr>
                    </w:pP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sz w:val="68"/>
                        <w:szCs w:val="68"/>
                      </w:rPr>
                      <w:t>#</w:t>
                    </w:r>
                    <w:r>
                      <w:rPr>
                        <w:rFonts w:ascii="Times New Roman" w:hAnsi="Times New Roman" w:eastAsia="Times New Roman" w:cs="Times New Roman"/>
                        <w:color w:val="000000"/>
                        <w:spacing w:val="0"/>
                        <w:w w:val="100"/>
                        <w:position w:val="0"/>
                        <w:sz w:val="68"/>
                        <w:szCs w:val="6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5312A5"/>
    <w:multiLevelType w:val="singleLevel"/>
    <w:tmpl w:val="875312A5"/>
    <w:lvl w:ilvl="0" w:tentative="0">
      <w:start w:val="1"/>
      <w:numFmt w:val="decimal"/>
      <w:suff w:val="nothing"/>
      <w:lvlText w:val="%1、"/>
      <w:lvlJc w:val="left"/>
    </w:lvl>
  </w:abstractNum>
  <w:abstractNum w:abstractNumId="1">
    <w:nsid w:val="A3F89B56"/>
    <w:multiLevelType w:val="singleLevel"/>
    <w:tmpl w:val="A3F89B56"/>
    <w:lvl w:ilvl="0" w:tentative="0">
      <w:start w:val="5"/>
      <w:numFmt w:val="chineseCounting"/>
      <w:suff w:val="nothing"/>
      <w:lvlText w:val="%1、"/>
      <w:lvlJc w:val="left"/>
      <w:rPr>
        <w:rFonts w:hint="eastAsia"/>
      </w:rPr>
    </w:lvl>
  </w:abstractNum>
  <w:abstractNum w:abstractNumId="2">
    <w:nsid w:val="B3D9683F"/>
    <w:multiLevelType w:val="singleLevel"/>
    <w:tmpl w:val="B3D9683F"/>
    <w:lvl w:ilvl="0" w:tentative="0">
      <w:start w:val="1"/>
      <w:numFmt w:val="decimal"/>
      <w:suff w:val="nothing"/>
      <w:lvlText w:val="%1、"/>
      <w:lvlJc w:val="left"/>
    </w:lvl>
  </w:abstractNum>
  <w:abstractNum w:abstractNumId="3">
    <w:nsid w:val="D2075744"/>
    <w:multiLevelType w:val="singleLevel"/>
    <w:tmpl w:val="D2075744"/>
    <w:lvl w:ilvl="0" w:tentative="0">
      <w:start w:val="1"/>
      <w:numFmt w:val="chineseCounting"/>
      <w:suff w:val="nothing"/>
      <w:lvlText w:val="%1、"/>
      <w:lvlJc w:val="left"/>
      <w:rPr>
        <w:rFonts w:hint="eastAsia"/>
      </w:rPr>
    </w:lvl>
  </w:abstractNum>
  <w:abstractNum w:abstractNumId="4">
    <w:nsid w:val="0502EC98"/>
    <w:multiLevelType w:val="singleLevel"/>
    <w:tmpl w:val="0502EC98"/>
    <w:lvl w:ilvl="0" w:tentative="0">
      <w:start w:val="1"/>
      <w:numFmt w:val="chineseCounting"/>
      <w:suff w:val="nothing"/>
      <w:lvlText w:val="（%1）"/>
      <w:lvlJc w:val="left"/>
      <w:rPr>
        <w:rFonts w:hint="eastAsia"/>
      </w:rPr>
    </w:lvl>
  </w:abstractNum>
  <w:abstractNum w:abstractNumId="5">
    <w:nsid w:val="0AEA5914"/>
    <w:multiLevelType w:val="singleLevel"/>
    <w:tmpl w:val="0AEA5914"/>
    <w:lvl w:ilvl="0" w:tentative="0">
      <w:start w:val="1"/>
      <w:numFmt w:val="decimal"/>
      <w:suff w:val="nothing"/>
      <w:lvlText w:val="%1、"/>
      <w:lvlJc w:val="left"/>
    </w:lvl>
  </w:abstractNum>
  <w:abstractNum w:abstractNumId="6">
    <w:nsid w:val="1BDD7951"/>
    <w:multiLevelType w:val="singleLevel"/>
    <w:tmpl w:val="1BDD7951"/>
    <w:lvl w:ilvl="0" w:tentative="0">
      <w:start w:val="12"/>
      <w:numFmt w:val="chineseCounting"/>
      <w:suff w:val="space"/>
      <w:lvlText w:val="第%1条"/>
      <w:lvlJc w:val="left"/>
      <w:rPr>
        <w:rFonts w:hint="eastAsia"/>
      </w:rPr>
    </w:lvl>
  </w:abstractNum>
  <w:abstractNum w:abstractNumId="7">
    <w:nsid w:val="2577B84C"/>
    <w:multiLevelType w:val="singleLevel"/>
    <w:tmpl w:val="2577B84C"/>
    <w:lvl w:ilvl="0" w:tentative="0">
      <w:start w:val="1"/>
      <w:numFmt w:val="chineseCounting"/>
      <w:suff w:val="nothing"/>
      <w:lvlText w:val="（%1）"/>
      <w:lvlJc w:val="left"/>
      <w:rPr>
        <w:rFonts w:hint="eastAsia"/>
      </w:rPr>
    </w:lvl>
  </w:abstractNum>
  <w:abstractNum w:abstractNumId="8">
    <w:nsid w:val="28029833"/>
    <w:multiLevelType w:val="singleLevel"/>
    <w:tmpl w:val="28029833"/>
    <w:lvl w:ilvl="0" w:tentative="0">
      <w:start w:val="1"/>
      <w:numFmt w:val="decimal"/>
      <w:suff w:val="nothing"/>
      <w:lvlText w:val="%1、"/>
      <w:lvlJc w:val="left"/>
    </w:lvl>
  </w:abstractNum>
  <w:abstractNum w:abstractNumId="9">
    <w:nsid w:val="28CFCEB7"/>
    <w:multiLevelType w:val="singleLevel"/>
    <w:tmpl w:val="28CFCEB7"/>
    <w:lvl w:ilvl="0" w:tentative="0">
      <w:start w:val="7"/>
      <w:numFmt w:val="chineseCounting"/>
      <w:suff w:val="space"/>
      <w:lvlText w:val="第%1条"/>
      <w:lvlJc w:val="left"/>
      <w:rPr>
        <w:rFonts w:hint="eastAsia"/>
      </w:rPr>
    </w:lvl>
  </w:abstractNum>
  <w:abstractNum w:abstractNumId="10">
    <w:nsid w:val="3477438B"/>
    <w:multiLevelType w:val="singleLevel"/>
    <w:tmpl w:val="3477438B"/>
    <w:lvl w:ilvl="0" w:tentative="0">
      <w:start w:val="1"/>
      <w:numFmt w:val="decimal"/>
      <w:suff w:val="nothing"/>
      <w:lvlText w:val="%1、"/>
      <w:lvlJc w:val="left"/>
    </w:lvl>
  </w:abstractNum>
  <w:abstractNum w:abstractNumId="11">
    <w:nsid w:val="3655871D"/>
    <w:multiLevelType w:val="singleLevel"/>
    <w:tmpl w:val="3655871D"/>
    <w:lvl w:ilvl="0" w:tentative="0">
      <w:start w:val="13"/>
      <w:numFmt w:val="chineseCounting"/>
      <w:suff w:val="nothing"/>
      <w:lvlText w:val="（%1）"/>
      <w:lvlJc w:val="left"/>
      <w:rPr>
        <w:rFonts w:hint="eastAsia"/>
      </w:rPr>
    </w:lvl>
  </w:abstractNum>
  <w:abstractNum w:abstractNumId="12">
    <w:nsid w:val="504FB9F9"/>
    <w:multiLevelType w:val="singleLevel"/>
    <w:tmpl w:val="504FB9F9"/>
    <w:lvl w:ilvl="0" w:tentative="0">
      <w:start w:val="19"/>
      <w:numFmt w:val="chineseCounting"/>
      <w:suff w:val="space"/>
      <w:lvlText w:val="第%1条"/>
      <w:lvlJc w:val="left"/>
      <w:rPr>
        <w:rFonts w:hint="eastAsia"/>
      </w:rPr>
    </w:lvl>
  </w:abstractNum>
  <w:abstractNum w:abstractNumId="13">
    <w:nsid w:val="56DC51F0"/>
    <w:multiLevelType w:val="singleLevel"/>
    <w:tmpl w:val="56DC51F0"/>
    <w:lvl w:ilvl="0" w:tentative="0">
      <w:start w:val="1"/>
      <w:numFmt w:val="decimal"/>
      <w:suff w:val="nothing"/>
      <w:lvlText w:val="%1、"/>
      <w:lvlJc w:val="left"/>
    </w:lvl>
  </w:abstractNum>
  <w:abstractNum w:abstractNumId="14">
    <w:nsid w:val="6F34E162"/>
    <w:multiLevelType w:val="singleLevel"/>
    <w:tmpl w:val="6F34E162"/>
    <w:lvl w:ilvl="0" w:tentative="0">
      <w:start w:val="1"/>
      <w:numFmt w:val="decimal"/>
      <w:suff w:val="nothing"/>
      <w:lvlText w:val="%1、"/>
      <w:lvlJc w:val="left"/>
    </w:lvl>
  </w:abstractNum>
  <w:abstractNum w:abstractNumId="15">
    <w:nsid w:val="775F8FB5"/>
    <w:multiLevelType w:val="singleLevel"/>
    <w:tmpl w:val="775F8FB5"/>
    <w:lvl w:ilvl="0" w:tentative="0">
      <w:start w:val="1"/>
      <w:numFmt w:val="decimal"/>
      <w:lvlText w:val="%1、"/>
      <w:lvlJc w:val="left"/>
    </w:lvl>
  </w:abstractNum>
  <w:abstractNum w:abstractNumId="16">
    <w:nsid w:val="7AE8EA2A"/>
    <w:multiLevelType w:val="singleLevel"/>
    <w:tmpl w:val="7AE8EA2A"/>
    <w:lvl w:ilvl="0" w:tentative="0">
      <w:start w:val="4"/>
      <w:numFmt w:val="chineseCounting"/>
      <w:suff w:val="space"/>
      <w:lvlText w:val="第%1条"/>
      <w:lvlJc w:val="left"/>
      <w:rPr>
        <w:rFonts w:hint="eastAsia"/>
      </w:rPr>
    </w:lvl>
  </w:abstractNum>
  <w:abstractNum w:abstractNumId="17">
    <w:nsid w:val="7D37A044"/>
    <w:multiLevelType w:val="singleLevel"/>
    <w:tmpl w:val="7D37A044"/>
    <w:lvl w:ilvl="0" w:tentative="0">
      <w:start w:val="1"/>
      <w:numFmt w:val="decimal"/>
      <w:suff w:val="nothing"/>
      <w:lvlText w:val="%1、"/>
      <w:lvlJc w:val="left"/>
    </w:lvl>
  </w:abstractNum>
  <w:num w:numId="1">
    <w:abstractNumId w:val="3"/>
  </w:num>
  <w:num w:numId="2">
    <w:abstractNumId w:val="7"/>
  </w:num>
  <w:num w:numId="3">
    <w:abstractNumId w:val="4"/>
  </w:num>
  <w:num w:numId="4">
    <w:abstractNumId w:val="1"/>
  </w:num>
  <w:num w:numId="5">
    <w:abstractNumId w:val="11"/>
  </w:num>
  <w:num w:numId="6">
    <w:abstractNumId w:val="0"/>
  </w:num>
  <w:num w:numId="7">
    <w:abstractNumId w:val="13"/>
  </w:num>
  <w:num w:numId="8">
    <w:abstractNumId w:val="14"/>
  </w:num>
  <w:num w:numId="9">
    <w:abstractNumId w:val="10"/>
  </w:num>
  <w:num w:numId="10">
    <w:abstractNumId w:val="15"/>
  </w:num>
  <w:num w:numId="11">
    <w:abstractNumId w:val="16"/>
  </w:num>
  <w:num w:numId="12">
    <w:abstractNumId w:val="2"/>
  </w:num>
  <w:num w:numId="13">
    <w:abstractNumId w:val="6"/>
  </w:num>
  <w:num w:numId="14">
    <w:abstractNumId w:val="17"/>
  </w:num>
  <w:num w:numId="15">
    <w:abstractNumId w:val="12"/>
  </w:num>
  <w:num w:numId="16">
    <w:abstractNumId w:val="9"/>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CB91A8E"/>
    <w:rsid w:val="1A983929"/>
    <w:rsid w:val="1BA61C7C"/>
    <w:rsid w:val="1BD64D89"/>
    <w:rsid w:val="1F9B1AF3"/>
    <w:rsid w:val="229307D5"/>
    <w:rsid w:val="23514059"/>
    <w:rsid w:val="259344BC"/>
    <w:rsid w:val="2B234A76"/>
    <w:rsid w:val="2F805401"/>
    <w:rsid w:val="333B7D79"/>
    <w:rsid w:val="35701314"/>
    <w:rsid w:val="39C92E15"/>
    <w:rsid w:val="3BFA1FAD"/>
    <w:rsid w:val="41A419B4"/>
    <w:rsid w:val="47CE7655"/>
    <w:rsid w:val="4E4B6EB4"/>
    <w:rsid w:val="53C76D1E"/>
    <w:rsid w:val="565F5E72"/>
    <w:rsid w:val="5CB76BB0"/>
    <w:rsid w:val="64BF6977"/>
    <w:rsid w:val="6E6F3561"/>
    <w:rsid w:val="6F480E00"/>
    <w:rsid w:val="70460DE4"/>
    <w:rsid w:val="71273361"/>
    <w:rsid w:val="715F40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7_"/>
    <w:basedOn w:val="4"/>
    <w:link w:val="6"/>
    <w:qFormat/>
    <w:uiPriority w:val="0"/>
    <w:rPr>
      <w:rFonts w:ascii="宋体" w:hAnsi="宋体" w:eastAsia="宋体" w:cs="宋体"/>
      <w:color w:val="D7161D"/>
      <w:sz w:val="204"/>
      <w:szCs w:val="204"/>
      <w:u w:val="none"/>
      <w:shd w:val="clear" w:color="auto" w:fill="auto"/>
      <w:lang w:val="zh-TW" w:eastAsia="zh-TW" w:bidi="zh-TW"/>
    </w:rPr>
  </w:style>
  <w:style w:type="paragraph" w:customStyle="1" w:styleId="6">
    <w:name w:val="Body text|7"/>
    <w:basedOn w:val="1"/>
    <w:link w:val="5"/>
    <w:qFormat/>
    <w:uiPriority w:val="0"/>
    <w:pPr>
      <w:widowControl w:val="0"/>
      <w:shd w:val="clear" w:color="auto" w:fill="auto"/>
    </w:pPr>
    <w:rPr>
      <w:rFonts w:ascii="宋体" w:hAnsi="宋体" w:eastAsia="宋体" w:cs="宋体"/>
      <w:color w:val="D7161D"/>
      <w:sz w:val="204"/>
      <w:szCs w:val="204"/>
      <w:u w:val="none"/>
      <w:shd w:val="clear" w:color="auto" w:fill="auto"/>
      <w:lang w:val="zh-TW" w:eastAsia="zh-TW" w:bidi="zh-TW"/>
    </w:rPr>
  </w:style>
  <w:style w:type="character" w:customStyle="1" w:styleId="7">
    <w:name w:val="Body text|3_"/>
    <w:basedOn w:val="4"/>
    <w:link w:val="8"/>
    <w:qFormat/>
    <w:uiPriority w:val="0"/>
    <w:rPr>
      <w:rFonts w:ascii="宋体" w:hAnsi="宋体" w:eastAsia="宋体" w:cs="宋体"/>
      <w:color w:val="D7161D"/>
      <w:sz w:val="92"/>
      <w:szCs w:val="92"/>
      <w:u w:val="none"/>
      <w:shd w:val="clear" w:color="auto" w:fill="auto"/>
      <w:lang w:val="zh-TW" w:eastAsia="zh-TW" w:bidi="zh-TW"/>
    </w:rPr>
  </w:style>
  <w:style w:type="paragraph" w:customStyle="1" w:styleId="8">
    <w:name w:val="Body text|3"/>
    <w:basedOn w:val="1"/>
    <w:link w:val="7"/>
    <w:qFormat/>
    <w:uiPriority w:val="0"/>
    <w:pPr>
      <w:widowControl w:val="0"/>
      <w:shd w:val="clear" w:color="auto" w:fill="auto"/>
      <w:spacing w:line="966" w:lineRule="exact"/>
      <w:ind w:left="1140" w:firstLine="40"/>
    </w:pPr>
    <w:rPr>
      <w:rFonts w:ascii="宋体" w:hAnsi="宋体" w:eastAsia="宋体" w:cs="宋体"/>
      <w:color w:val="D7161D"/>
      <w:sz w:val="92"/>
      <w:szCs w:val="92"/>
      <w:u w:val="none"/>
      <w:shd w:val="clear" w:color="auto" w:fill="auto"/>
      <w:lang w:val="zh-TW" w:eastAsia="zh-TW" w:bidi="zh-TW"/>
    </w:rPr>
  </w:style>
  <w:style w:type="character" w:customStyle="1" w:styleId="9">
    <w:name w:val="Header or footer|2_"/>
    <w:basedOn w:val="4"/>
    <w:link w:val="10"/>
    <w:qFormat/>
    <w:uiPriority w:val="0"/>
    <w:rPr>
      <w:sz w:val="20"/>
      <w:szCs w:val="20"/>
      <w:u w:val="none"/>
      <w:shd w:val="clear" w:color="auto" w:fill="auto"/>
      <w:lang w:val="zh-TW" w:eastAsia="zh-TW" w:bidi="zh-TW"/>
    </w:rPr>
  </w:style>
  <w:style w:type="paragraph" w:customStyle="1" w:styleId="10">
    <w:name w:val="Header or footer|2"/>
    <w:basedOn w:val="1"/>
    <w:link w:val="9"/>
    <w:qFormat/>
    <w:uiPriority w:val="0"/>
    <w:pPr>
      <w:widowControl w:val="0"/>
      <w:shd w:val="clear" w:color="auto" w:fill="auto"/>
    </w:pPr>
    <w:rPr>
      <w:sz w:val="20"/>
      <w:szCs w:val="20"/>
      <w:u w:val="none"/>
      <w:shd w:val="clear" w:color="auto" w:fill="auto"/>
      <w:lang w:val="zh-TW" w:eastAsia="zh-TW" w:bidi="zh-TW"/>
    </w:rPr>
  </w:style>
  <w:style w:type="character" w:customStyle="1" w:styleId="11">
    <w:name w:val="Other|1_"/>
    <w:basedOn w:val="4"/>
    <w:link w:val="12"/>
    <w:qFormat/>
    <w:uiPriority w:val="0"/>
    <w:rPr>
      <w:rFonts w:ascii="宋体" w:hAnsi="宋体" w:eastAsia="宋体" w:cs="宋体"/>
      <w:sz w:val="76"/>
      <w:szCs w:val="76"/>
      <w:u w:val="none"/>
      <w:shd w:val="clear" w:color="auto" w:fill="auto"/>
      <w:lang w:val="zh-TW" w:eastAsia="zh-TW" w:bidi="zh-TW"/>
    </w:rPr>
  </w:style>
  <w:style w:type="paragraph" w:customStyle="1" w:styleId="12">
    <w:name w:val="Other|1"/>
    <w:basedOn w:val="1"/>
    <w:link w:val="11"/>
    <w:qFormat/>
    <w:uiPriority w:val="0"/>
    <w:pPr>
      <w:widowControl w:val="0"/>
      <w:shd w:val="clear" w:color="auto" w:fill="auto"/>
      <w:spacing w:after="600"/>
    </w:pPr>
    <w:rPr>
      <w:rFonts w:ascii="宋体" w:hAnsi="宋体" w:eastAsia="宋体" w:cs="宋体"/>
      <w:sz w:val="76"/>
      <w:szCs w:val="76"/>
      <w:u w:val="none"/>
      <w:shd w:val="clear" w:color="auto" w:fill="auto"/>
      <w:lang w:val="zh-TW" w:eastAsia="zh-TW" w:bidi="zh-TW"/>
    </w:rPr>
  </w:style>
  <w:style w:type="character" w:customStyle="1" w:styleId="13">
    <w:name w:val="Table caption|1_"/>
    <w:basedOn w:val="4"/>
    <w:link w:val="14"/>
    <w:qFormat/>
    <w:uiPriority w:val="0"/>
    <w:rPr>
      <w:rFonts w:ascii="宋体" w:hAnsi="宋体" w:eastAsia="宋体" w:cs="宋体"/>
      <w:color w:val="D7161D"/>
      <w:sz w:val="92"/>
      <w:szCs w:val="92"/>
      <w:u w:val="none"/>
      <w:shd w:val="clear" w:color="auto" w:fill="auto"/>
      <w:lang w:val="zh-TW" w:eastAsia="zh-TW" w:bidi="zh-TW"/>
    </w:rPr>
  </w:style>
  <w:style w:type="paragraph" w:customStyle="1" w:styleId="14">
    <w:name w:val="Table caption|1"/>
    <w:basedOn w:val="1"/>
    <w:link w:val="13"/>
    <w:qFormat/>
    <w:uiPriority w:val="0"/>
    <w:pPr>
      <w:widowControl w:val="0"/>
      <w:shd w:val="clear" w:color="auto" w:fill="auto"/>
      <w:spacing w:line="960" w:lineRule="exact"/>
    </w:pPr>
    <w:rPr>
      <w:rFonts w:ascii="宋体" w:hAnsi="宋体" w:eastAsia="宋体" w:cs="宋体"/>
      <w:color w:val="D7161D"/>
      <w:sz w:val="92"/>
      <w:szCs w:val="92"/>
      <w:u w:val="none"/>
      <w:shd w:val="clear" w:color="auto" w:fill="auto"/>
      <w:lang w:val="zh-TW" w:eastAsia="zh-TW" w:bidi="zh-TW"/>
    </w:rPr>
  </w:style>
  <w:style w:type="character" w:customStyle="1" w:styleId="15">
    <w:name w:val="Heading #1|1_"/>
    <w:basedOn w:val="4"/>
    <w:link w:val="16"/>
    <w:qFormat/>
    <w:uiPriority w:val="0"/>
    <w:rPr>
      <w:rFonts w:ascii="宋体" w:hAnsi="宋体" w:eastAsia="宋体" w:cs="宋体"/>
      <w:sz w:val="110"/>
      <w:szCs w:val="110"/>
      <w:u w:val="none"/>
      <w:shd w:val="clear" w:color="auto" w:fill="auto"/>
      <w:lang w:val="zh-TW" w:eastAsia="zh-TW" w:bidi="zh-TW"/>
    </w:rPr>
  </w:style>
  <w:style w:type="paragraph" w:customStyle="1" w:styleId="16">
    <w:name w:val="Heading #1|1"/>
    <w:basedOn w:val="1"/>
    <w:link w:val="15"/>
    <w:qFormat/>
    <w:uiPriority w:val="0"/>
    <w:pPr>
      <w:widowControl w:val="0"/>
      <w:shd w:val="clear" w:color="auto" w:fill="auto"/>
      <w:spacing w:after="2120" w:line="1870" w:lineRule="exact"/>
      <w:jc w:val="center"/>
      <w:outlineLvl w:val="0"/>
    </w:pPr>
    <w:rPr>
      <w:rFonts w:ascii="宋体" w:hAnsi="宋体" w:eastAsia="宋体" w:cs="宋体"/>
      <w:sz w:val="110"/>
      <w:szCs w:val="110"/>
      <w:u w:val="none"/>
      <w:shd w:val="clear" w:color="auto" w:fill="auto"/>
      <w:lang w:val="zh-TW" w:eastAsia="zh-TW" w:bidi="zh-TW"/>
    </w:rPr>
  </w:style>
  <w:style w:type="character" w:customStyle="1" w:styleId="17">
    <w:name w:val="Body text|2_"/>
    <w:basedOn w:val="4"/>
    <w:link w:val="18"/>
    <w:qFormat/>
    <w:uiPriority w:val="0"/>
    <w:rPr>
      <w:rFonts w:ascii="宋体" w:hAnsi="宋体" w:eastAsia="宋体" w:cs="宋体"/>
      <w:sz w:val="76"/>
      <w:szCs w:val="76"/>
      <w:u w:val="none"/>
      <w:shd w:val="clear" w:color="auto" w:fill="auto"/>
      <w:lang w:val="zh-TW" w:eastAsia="zh-TW" w:bidi="zh-TW"/>
    </w:rPr>
  </w:style>
  <w:style w:type="paragraph" w:customStyle="1" w:styleId="18">
    <w:name w:val="Body text|2"/>
    <w:basedOn w:val="1"/>
    <w:link w:val="17"/>
    <w:qFormat/>
    <w:uiPriority w:val="0"/>
    <w:pPr>
      <w:widowControl w:val="0"/>
      <w:shd w:val="clear" w:color="auto" w:fill="auto"/>
      <w:spacing w:after="600"/>
    </w:pPr>
    <w:rPr>
      <w:rFonts w:ascii="宋体" w:hAnsi="宋体" w:eastAsia="宋体" w:cs="宋体"/>
      <w:sz w:val="76"/>
      <w:szCs w:val="76"/>
      <w:u w:val="none"/>
      <w:shd w:val="clear" w:color="auto" w:fill="auto"/>
      <w:lang w:val="zh-TW" w:eastAsia="zh-TW" w:bidi="zh-TW"/>
    </w:rPr>
  </w:style>
  <w:style w:type="character" w:customStyle="1" w:styleId="19">
    <w:name w:val="Body text|4_"/>
    <w:basedOn w:val="4"/>
    <w:link w:val="20"/>
    <w:qFormat/>
    <w:uiPriority w:val="0"/>
    <w:rPr>
      <w:sz w:val="52"/>
      <w:szCs w:val="52"/>
      <w:u w:val="none"/>
      <w:shd w:val="clear" w:color="auto" w:fill="FFFFFF"/>
    </w:rPr>
  </w:style>
  <w:style w:type="paragraph" w:customStyle="1" w:styleId="20">
    <w:name w:val="Body text|4"/>
    <w:basedOn w:val="1"/>
    <w:link w:val="19"/>
    <w:qFormat/>
    <w:uiPriority w:val="0"/>
    <w:pPr>
      <w:widowControl w:val="0"/>
      <w:shd w:val="clear" w:color="auto" w:fill="auto"/>
    </w:pPr>
    <w:rPr>
      <w:sz w:val="52"/>
      <w:szCs w:val="52"/>
      <w:u w:val="none"/>
      <w:shd w:val="clear" w:color="auto" w:fill="FFFFFF"/>
    </w:rPr>
  </w:style>
  <w:style w:type="character" w:customStyle="1" w:styleId="21">
    <w:name w:val="Body text|5_"/>
    <w:basedOn w:val="4"/>
    <w:link w:val="22"/>
    <w:qFormat/>
    <w:uiPriority w:val="0"/>
    <w:rPr>
      <w:b/>
      <w:bCs/>
      <w:sz w:val="26"/>
      <w:szCs w:val="26"/>
      <w:u w:val="none"/>
      <w:shd w:val="clear" w:color="auto" w:fill="FFFFFF"/>
    </w:rPr>
  </w:style>
  <w:style w:type="paragraph" w:customStyle="1" w:styleId="22">
    <w:name w:val="Body text|5"/>
    <w:basedOn w:val="1"/>
    <w:link w:val="21"/>
    <w:qFormat/>
    <w:uiPriority w:val="0"/>
    <w:pPr>
      <w:widowControl w:val="0"/>
      <w:shd w:val="clear" w:color="auto" w:fill="auto"/>
    </w:pPr>
    <w:rPr>
      <w:b/>
      <w:bCs/>
      <w:sz w:val="26"/>
      <w:szCs w:val="26"/>
      <w:u w:val="none"/>
      <w:shd w:val="clear" w:color="auto" w:fill="FFFFFF"/>
    </w:rPr>
  </w:style>
  <w:style w:type="character" w:customStyle="1" w:styleId="23">
    <w:name w:val="Body text|6_"/>
    <w:basedOn w:val="4"/>
    <w:link w:val="24"/>
    <w:qFormat/>
    <w:uiPriority w:val="0"/>
    <w:rPr>
      <w:sz w:val="38"/>
      <w:szCs w:val="38"/>
      <w:u w:val="none"/>
      <w:shd w:val="clear" w:color="auto" w:fill="auto"/>
      <w:lang w:val="zh-TW" w:eastAsia="zh-TW" w:bidi="zh-TW"/>
    </w:rPr>
  </w:style>
  <w:style w:type="paragraph" w:customStyle="1" w:styleId="24">
    <w:name w:val="Body text|6"/>
    <w:basedOn w:val="1"/>
    <w:link w:val="23"/>
    <w:qFormat/>
    <w:uiPriority w:val="0"/>
    <w:pPr>
      <w:widowControl w:val="0"/>
      <w:shd w:val="clear" w:color="auto" w:fill="auto"/>
    </w:pPr>
    <w:rPr>
      <w:sz w:val="38"/>
      <w:szCs w:val="38"/>
      <w:u w:val="none"/>
      <w:shd w:val="clear" w:color="auto" w:fill="auto"/>
      <w:lang w:val="zh-TW" w:eastAsia="zh-TW" w:bidi="zh-TW"/>
    </w:rPr>
  </w:style>
  <w:style w:type="character" w:customStyle="1" w:styleId="25">
    <w:name w:val="Header or footer|1_"/>
    <w:basedOn w:val="4"/>
    <w:link w:val="26"/>
    <w:qFormat/>
    <w:uiPriority w:val="0"/>
    <w:rPr>
      <w:sz w:val="68"/>
      <w:szCs w:val="68"/>
      <w:u w:val="none"/>
      <w:shd w:val="clear" w:color="auto" w:fill="auto"/>
      <w:lang w:val="zh-TW" w:eastAsia="zh-TW" w:bidi="zh-TW"/>
    </w:rPr>
  </w:style>
  <w:style w:type="paragraph" w:customStyle="1" w:styleId="26">
    <w:name w:val="Header or footer|1"/>
    <w:basedOn w:val="1"/>
    <w:link w:val="25"/>
    <w:qFormat/>
    <w:uiPriority w:val="0"/>
    <w:pPr>
      <w:widowControl w:val="0"/>
      <w:shd w:val="clear" w:color="auto" w:fill="auto"/>
      <w:ind w:left="-20"/>
      <w:jc w:val="center"/>
    </w:pPr>
    <w:rPr>
      <w:sz w:val="68"/>
      <w:szCs w:val="68"/>
      <w:u w:val="none"/>
      <w:shd w:val="clear" w:color="auto" w:fill="auto"/>
      <w:lang w:val="zh-TW" w:eastAsia="zh-TW" w:bidi="zh-TW"/>
    </w:rPr>
  </w:style>
  <w:style w:type="character" w:customStyle="1" w:styleId="27">
    <w:name w:val="Heading #2|1_"/>
    <w:basedOn w:val="4"/>
    <w:link w:val="28"/>
    <w:qFormat/>
    <w:uiPriority w:val="0"/>
    <w:rPr>
      <w:rFonts w:ascii="宋体" w:hAnsi="宋体" w:eastAsia="宋体" w:cs="宋体"/>
      <w:sz w:val="80"/>
      <w:szCs w:val="80"/>
      <w:u w:val="none"/>
      <w:shd w:val="clear" w:color="auto" w:fill="auto"/>
      <w:lang w:val="zh-TW" w:eastAsia="zh-TW" w:bidi="zh-TW"/>
    </w:rPr>
  </w:style>
  <w:style w:type="paragraph" w:customStyle="1" w:styleId="28">
    <w:name w:val="Heading #2|1"/>
    <w:basedOn w:val="1"/>
    <w:link w:val="27"/>
    <w:qFormat/>
    <w:uiPriority w:val="0"/>
    <w:pPr>
      <w:widowControl w:val="0"/>
      <w:shd w:val="clear" w:color="auto" w:fill="auto"/>
      <w:outlineLvl w:val="1"/>
    </w:pPr>
    <w:rPr>
      <w:rFonts w:ascii="宋体" w:hAnsi="宋体" w:eastAsia="宋体" w:cs="宋体"/>
      <w:sz w:val="80"/>
      <w:szCs w:val="80"/>
      <w:u w:val="none"/>
      <w:shd w:val="clear" w:color="auto" w:fill="auto"/>
      <w:lang w:val="zh-TW" w:eastAsia="zh-TW" w:bidi="zh-TW"/>
    </w:rPr>
  </w:style>
  <w:style w:type="character" w:customStyle="1" w:styleId="29">
    <w:name w:val="Body text|1_"/>
    <w:basedOn w:val="4"/>
    <w:link w:val="30"/>
    <w:qFormat/>
    <w:uiPriority w:val="0"/>
    <w:rPr>
      <w:rFonts w:ascii="宋体" w:hAnsi="宋体" w:eastAsia="宋体" w:cs="宋体"/>
      <w:sz w:val="62"/>
      <w:szCs w:val="62"/>
      <w:u w:val="none"/>
      <w:shd w:val="clear" w:color="auto" w:fill="auto"/>
      <w:lang w:val="zh-TW" w:eastAsia="zh-TW" w:bidi="zh-TW"/>
    </w:rPr>
  </w:style>
  <w:style w:type="paragraph" w:customStyle="1" w:styleId="30">
    <w:name w:val="Body text|1"/>
    <w:basedOn w:val="1"/>
    <w:link w:val="29"/>
    <w:qFormat/>
    <w:uiPriority w:val="0"/>
    <w:pPr>
      <w:widowControl w:val="0"/>
      <w:shd w:val="clear" w:color="auto" w:fill="auto"/>
      <w:spacing w:line="331" w:lineRule="auto"/>
    </w:pPr>
    <w:rPr>
      <w:rFonts w:ascii="宋体" w:hAnsi="宋体" w:eastAsia="宋体" w:cs="宋体"/>
      <w:sz w:val="62"/>
      <w:szCs w:val="6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Office_11.1.0.9999_F1E327BC-269C-435d-A152-05C5408002CA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2020-09-21T01:04:00Z</dcterms:created>
  <dc:creator> TH-OCR 11</dc:creator>
  <cp:lastModifiedBy> 丽  小木  </cp:lastModifiedBy>
  <dcterms:modified xsi:type="dcterms:W3CDTF">2020-10-10T00:37:07Z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